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96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633730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26" w:lineRule="exact"/>
        <w:rPr>
          <w:sz w:val="24"/>
          <w:szCs w:val="24"/>
          <w:color w:val="auto"/>
        </w:rPr>
      </w:pPr>
    </w:p>
    <w:p>
      <w:pPr>
        <w:ind w:left="3900" w:right="2680" w:hanging="3892"/>
        <w:spacing w:after="0" w:line="327" w:lineRule="auto"/>
        <w:tabs>
          <w:tab w:leader="none" w:pos="32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November 2, 2024</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2" w:lineRule="exact"/>
        <w:rPr>
          <w:sz w:val="24"/>
          <w:szCs w:val="24"/>
          <w:color w:val="auto"/>
        </w:rPr>
      </w:pPr>
    </w:p>
    <w:p>
      <w:pPr>
        <w:ind w:left="3940" w:right="2680" w:hanging="3932"/>
        <w:spacing w:after="0" w:line="299" w:lineRule="auto"/>
        <w:tabs>
          <w:tab w:leader="none" w:pos="327"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from_______to_______</w:t>
      </w: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Commission File Number: 001-36401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SPORTSMAN’S WAREHOUSE HOLDINGS, INC.</w:t>
      </w:r>
    </w:p>
    <w:p>
      <w:pPr>
        <w:spacing w:after="0" w:line="28"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tbl>
      <w:tblPr>
        <w:tblLayout w:type="fixed"/>
        <w:tblInd w:w="1080" w:type="dxa"/>
        <w:tblCellMar>
          <w:top w:w="0" w:type="dxa"/>
          <w:left w:w="0" w:type="dxa"/>
          <w:bottom w:w="0" w:type="dxa"/>
          <w:right w:w="0" w:type="dxa"/>
        </w:tblCellMar>
      </w:tblPr>
      <w:tr>
        <w:trPr>
          <w:trHeight w:val="20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9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39-1975614</w:t>
            </w:r>
          </w:p>
        </w:tc>
      </w:tr>
      <w:tr>
        <w:trPr>
          <w:trHeight w:val="20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(State or other jurisdiction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(I.R.S. Employer</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of incorporation or organization)</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rPr>
              <w:t>Identification No.)</w:t>
            </w:r>
          </w:p>
        </w:tc>
      </w:tr>
      <w:tr>
        <w:trPr>
          <w:trHeight w:val="260"/>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1475 West 9000 South, Suite A, West Jordan, Utah</w:t>
            </w:r>
          </w:p>
        </w:tc>
        <w:tc>
          <w:tcPr>
            <w:tcW w:w="29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84088</w:t>
            </w:r>
          </w:p>
        </w:tc>
      </w:tr>
      <w:tr>
        <w:trPr>
          <w:trHeight w:val="212"/>
        </w:trPr>
        <w:tc>
          <w:tcPr>
            <w:tcW w:w="5160" w:type="dxa"/>
            <w:vAlign w:val="bottom"/>
          </w:tcPr>
          <w:p>
            <w:pPr>
              <w:jc w:val="center"/>
              <w:ind w:right="159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940" w:type="dxa"/>
            <w:vAlign w:val="bottom"/>
          </w:tcPr>
          <w:p>
            <w:pPr>
              <w:jc w:val="center"/>
              <w:ind w:left="1599"/>
              <w:spacing w:after="0"/>
              <w:rPr>
                <w:sz w:val="20"/>
                <w:szCs w:val="20"/>
                <w:color w:val="auto"/>
              </w:rPr>
            </w:pPr>
            <w:r>
              <w:rPr>
                <w:rFonts w:ascii="Times New Roman" w:cs="Times New Roman" w:eastAsia="Times New Roman" w:hAnsi="Times New Roman"/>
                <w:sz w:val="16"/>
                <w:szCs w:val="16"/>
                <w:b w:val="1"/>
                <w:bCs w:val="1"/>
                <w:color w:val="auto"/>
                <w:w w:val="99"/>
              </w:rPr>
              <w:t>(Zip Code)</w:t>
            </w:r>
          </w:p>
        </w:tc>
      </w:tr>
    </w:tbl>
    <w:p>
      <w:pPr>
        <w:spacing w:after="0" w:line="19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(801) 566-6681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37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76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131"/>
        </w:trPr>
        <w:tc>
          <w:tcPr>
            <w:tcW w:w="3760" w:type="dxa"/>
            <w:vAlign w:val="bottom"/>
            <w:tcBorders>
              <w:bottom w:val="single" w:sz="8" w:color="auto"/>
            </w:tcBorders>
          </w:tcPr>
          <w:p>
            <w:pPr>
              <w:spacing w:after="0"/>
              <w:rPr>
                <w:sz w:val="11"/>
                <w:szCs w:val="11"/>
                <w:color w:val="auto"/>
              </w:rPr>
            </w:pPr>
          </w:p>
        </w:tc>
        <w:tc>
          <w:tcPr>
            <w:tcW w:w="3760" w:type="dxa"/>
            <w:vAlign w:val="bottom"/>
            <w:tcBorders>
              <w:bottom w:val="single" w:sz="8" w:color="auto"/>
            </w:tcBorders>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r>
      <w:tr>
        <w:trPr>
          <w:trHeight w:val="196"/>
        </w:trPr>
        <w:tc>
          <w:tcPr>
            <w:tcW w:w="3760" w:type="dxa"/>
            <w:vAlign w:val="bottom"/>
            <w:tcBorders>
              <w:left w:val="single" w:sz="8" w:color="auto"/>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w w:val="99"/>
              </w:rPr>
              <w:t>Title of each class</w:t>
            </w:r>
          </w:p>
        </w:tc>
        <w:tc>
          <w:tcPr>
            <w:tcW w:w="376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Trading Symbol(s)</w:t>
            </w:r>
          </w:p>
        </w:tc>
        <w:tc>
          <w:tcPr>
            <w:tcW w:w="37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65"/>
        </w:trPr>
        <w:tc>
          <w:tcPr>
            <w:tcW w:w="3760" w:type="dxa"/>
            <w:vAlign w:val="bottom"/>
            <w:tcBorders>
              <w:left w:val="single" w:sz="8" w:color="auto"/>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Common stock, par value $0.01 per share</w:t>
            </w:r>
          </w:p>
        </w:tc>
        <w:tc>
          <w:tcPr>
            <w:tcW w:w="376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w w:val="98"/>
              </w:rPr>
              <w:t>SPWH</w:t>
            </w:r>
          </w:p>
        </w:tc>
        <w:tc>
          <w:tcPr>
            <w:tcW w:w="372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13"/>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spacing w:after="0"/>
              <w:rPr>
                <w:sz w:val="18"/>
                <w:szCs w:val="18"/>
                <w:color w:val="auto"/>
              </w:rPr>
            </w:pPr>
          </w:p>
        </w:tc>
        <w:tc>
          <w:tcPr>
            <w:tcW w:w="3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8" w:lineRule="exact"/>
        <w:rPr>
          <w:sz w:val="24"/>
          <w:szCs w:val="24"/>
          <w:color w:val="auto"/>
        </w:rPr>
      </w:pPr>
    </w:p>
    <w:p>
      <w:pPr>
        <w:ind w:right="6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70" w:lineRule="exact"/>
        <w:rPr>
          <w:sz w:val="24"/>
          <w:szCs w:val="24"/>
          <w:color w:val="auto"/>
        </w:rPr>
      </w:pPr>
    </w:p>
    <w:p>
      <w:pPr>
        <w:jc w:val="both"/>
        <w:ind w:right="28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Accelerated filer</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7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00" w:type="dxa"/>
            <w:vAlign w:val="bottom"/>
          </w:tcPr>
          <w:p>
            <w:pPr>
              <w:ind w:left="4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40" w:type="dxa"/>
            <w:vAlign w:val="bottom"/>
          </w:tcPr>
          <w:p>
            <w:pPr>
              <w:ind w:left="42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600" w:type="dxa"/>
            <w:vAlign w:val="bottom"/>
          </w:tcPr>
          <w:p>
            <w:pPr>
              <w:spacing w:after="0"/>
              <w:rPr>
                <w:sz w:val="23"/>
                <w:szCs w:val="23"/>
                <w:color w:val="auto"/>
              </w:rPr>
            </w:pPr>
          </w:p>
        </w:tc>
      </w:tr>
    </w:tbl>
    <w:p>
      <w:pPr>
        <w:spacing w:after="0" w:line="155" w:lineRule="exact"/>
        <w:rPr>
          <w:sz w:val="24"/>
          <w:szCs w:val="24"/>
          <w:color w:val="auto"/>
        </w:rPr>
      </w:pPr>
    </w:p>
    <w:p>
      <w:pPr>
        <w:ind w:left="520" w:right="8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 w:lineRule="exact"/>
        <w:rPr>
          <w:sz w:val="24"/>
          <w:szCs w:val="24"/>
          <w:color w:val="auto"/>
        </w:rPr>
      </w:pPr>
    </w:p>
    <w:p>
      <w:pPr>
        <w:ind w:left="520"/>
        <w:spacing w:after="0" w:line="184" w:lineRule="exact"/>
        <w:tabs>
          <w:tab w:leader="none" w:pos="8020" w:val="left"/>
          <w:tab w:leader="none" w:pos="86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920750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per share, outstanding as of December 6, 2024 was 37,957,282.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1078230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020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0" w:type="dxa"/>
            <w:vAlign w:val="bottom"/>
            <w:gridSpan w:val="21"/>
            <w:vMerge w:val="continue"/>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1.</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40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tcBorders>
              <w:left w:val="single" w:sz="8" w:color="0000FF"/>
            </w:tcBorders>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4.</w:t>
            </w:r>
          </w:p>
        </w:tc>
        <w:tc>
          <w:tcPr>
            <w:tcW w:w="2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02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5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00" w:type="dxa"/>
            <w:vAlign w:val="bottom"/>
            <w:tcBorders>
              <w:top w:val="single" w:sz="8" w:color="0000FF"/>
            </w:tcBorders>
            <w:gridSpan w:val="2"/>
          </w:tcPr>
          <w:p>
            <w:pPr>
              <w:spacing w:after="0"/>
              <w:rPr>
                <w:sz w:val="24"/>
                <w:szCs w:val="24"/>
                <w:color w:val="auto"/>
              </w:rPr>
            </w:pPr>
          </w:p>
        </w:tc>
        <w:tc>
          <w:tcPr>
            <w:tcW w:w="18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440" w:type="dxa"/>
            <w:vAlign w:val="bottom"/>
            <w:gridSpan w:val="1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1A.</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6"/>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6"/>
            <w:shd w:val="clear" w:color="auto" w:fill="0000FF"/>
          </w:tcPr>
          <w:p>
            <w:pPr>
              <w:spacing w:after="0" w:line="20" w:lineRule="exact"/>
              <w:rPr>
                <w:sz w:val="1"/>
                <w:szCs w:val="1"/>
                <w:color w:val="auto"/>
              </w:rPr>
            </w:pPr>
          </w:p>
        </w:tc>
        <w:tc>
          <w:tcPr>
            <w:tcW w:w="49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3.</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4"/>
            <w:shd w:val="clear" w:color="auto" w:fill="0000FF"/>
          </w:tcPr>
          <w:p>
            <w:pPr>
              <w:spacing w:after="0" w:line="20" w:lineRule="exact"/>
              <w:rPr>
                <w:sz w:val="1"/>
                <w:szCs w:val="1"/>
                <w:color w:val="auto"/>
              </w:rPr>
            </w:pPr>
          </w:p>
        </w:tc>
        <w:tc>
          <w:tcPr>
            <w:tcW w:w="6960" w:type="dxa"/>
            <w:vAlign w:val="bottom"/>
            <w:gridSpan w:val="9"/>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4.</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520" w:type="dxa"/>
            <w:vAlign w:val="bottom"/>
            <w:gridSpan w:val="1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Item 5.</w:t>
            </w: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940" w:type="dxa"/>
            <w:vAlign w:val="bottom"/>
            <w:tcBorders>
              <w:right w:val="single" w:sz="8" w:color="0000EE"/>
            </w:tcBorders>
            <w:gridSpan w:val="4"/>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7"/>
              </w:rPr>
              <w:t>Item 6.</w:t>
            </w:r>
          </w:p>
        </w:tc>
        <w:tc>
          <w:tcPr>
            <w:tcW w:w="420" w:type="dxa"/>
            <w:vAlign w:val="bottom"/>
            <w:gridSpan w:val="3"/>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500" w:type="dxa"/>
            <w:vAlign w:val="bottom"/>
            <w:gridSpan w:val="1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operate on a fiscal calendar that, in a given fiscal year, consists of the 52- or 53-week period ending on the Saturday closest to January 31st. Our third fiscal quarters ended November 2, 2024 and October 28, 2023 both consisted of 13 weeks and are referred to herein as the third quarter of fiscal year 2024 and the third quarter of fiscal year 2023, respectively. Fiscal year 2024 contains 52 weeks of operations and will end on February 1, 2025. Fiscal year 2023 contained 53 weeks of operations and ended on February 3,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References throughout this document to “Sportsman’s Warehouse,” “we,” “us,” and “our” refer to Sportsman’s Warehouse Holdings, Inc. and its subsidiaries, and references to “Holdings” refer to Sportsman’s Warehouse Holdings, Inc. excluding its subsidiaries. References to (i) “fiscal year 2024” refer to our fiscal year ending February 1, 2025; (ii) “fiscal year 2023” refer to our fiscal year ended February 3, 2024; and (iii) “fiscal year 2022” refer to our fiscal year ended January 28, 2023.</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SPECIAL NOTE REGARDING FORWARD-LOOKING STATEMENTS</w:t>
      </w:r>
    </w:p>
    <w:p>
      <w:pPr>
        <w:spacing w:after="0" w:line="13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“10-Q”) contains statements that constitute forward-looking statements as that term is defined by the Private Securities Litigation Reform Act of 1995. These statements concern our business, operations and financial performance and condition as well as our plans, objectives and expectations for our business operations and financial performance and condition, which are subject to risks and uncertainties. All statements other than statements of historical fact included in this 10-Q are forward-looking statements. These statements may include words such as “aim,” “anticipate,” “assume,” “believe,” “can have,” “could,” “due,” “estimate,” “expect,” “goal,” “intend,” “likely,” “may,” “objective,” “plan,” “positioned,” “potential,” “predict,” “should,” “target,” “will,” “would” and other words and terms of similar meaning in connection with any discussion of the timing or nature of future operating or financial performance or other events or trends. For example, all statements we make relating to our plans and objectives for future operations, growth or initiatives and strategies are forward-looking statements.</w:t>
      </w:r>
    </w:p>
    <w:p>
      <w:pPr>
        <w:spacing w:after="0" w:line="8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on current expectations, estimates, forecasts and projections about our business and the industry in which we operate and our management’s beliefs and assumptions. We derive many of our forward-looking statements from our own operating budgets and forecasts, which are based upon many detailed assumptions. While we believe that our assumptions are reasonable, we caution that predicting the impact of known factors is very difficult, and we cannot anticipate all factors that could affect our actual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of our forward-looking statements are subject to risks and uncertainties that may cause our actual results to differ materially from our expectations.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factors that could cause actual results to differ materially from our expectations include, but are not limited to:</w:t>
      </w:r>
    </w:p>
    <w:p>
      <w:pPr>
        <w:spacing w:after="0" w:line="96" w:lineRule="exact"/>
        <w:rPr>
          <w:sz w:val="20"/>
          <w:szCs w:val="20"/>
          <w:color w:val="auto"/>
        </w:rPr>
      </w:pPr>
    </w:p>
    <w:p>
      <w:pPr>
        <w:ind w:left="1020" w:right="18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current and future government regulations, in particular regulations relating to the sale of firearms and ammunition, which may impact the supply and demand for our products and our ability to conduct our business;</w:t>
      </w:r>
    </w:p>
    <w:p>
      <w:pPr>
        <w:spacing w:after="0" w:line="51" w:lineRule="exact"/>
        <w:rPr>
          <w:rFonts w:ascii="Times New Roman" w:cs="Times New Roman" w:eastAsia="Times New Roman" w:hAnsi="Times New Roman"/>
          <w:sz w:val="18"/>
          <w:szCs w:val="18"/>
          <w:color w:val="auto"/>
        </w:rPr>
      </w:pPr>
    </w:p>
    <w:p>
      <w:pPr>
        <w:ind w:left="1020" w:right="7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retail-based business model which is impacted by general economic and market conditions and economic, market and financial uncertainties that may cause a decline in consumer spending;</w:t>
      </w:r>
    </w:p>
    <w:p>
      <w:pPr>
        <w:spacing w:after="0" w:line="51" w:lineRule="exact"/>
        <w:rPr>
          <w:rFonts w:ascii="Times New Roman" w:cs="Times New Roman" w:eastAsia="Times New Roman" w:hAnsi="Times New Roman"/>
          <w:sz w:val="18"/>
          <w:szCs w:val="18"/>
          <w:color w:val="auto"/>
        </w:rPr>
      </w:pPr>
    </w:p>
    <w:p>
      <w:pPr>
        <w:ind w:left="1020" w:right="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concentration of stores in the Western United States which makes us susceptible to adverse conditions in this region, and could affect our sales and cause our operating results to suffer;</w:t>
      </w:r>
    </w:p>
    <w:p>
      <w:pPr>
        <w:spacing w:after="0" w:line="51"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highly fragmented and competitive industry in which we operate and the potential for increased competition;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consumer demands, including regional preferences, which we may not be able to identify and respond to in a timely manner;</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entrance into new markets or operations in existing markets, including our plans to open additional stores in future periods, which may not be successful;</w:t>
      </w:r>
    </w:p>
    <w:p>
      <w:pPr>
        <w:spacing w:after="0" w:line="51" w:lineRule="exact"/>
        <w:rPr>
          <w:rFonts w:ascii="Times New Roman" w:cs="Times New Roman" w:eastAsia="Times New Roman" w:hAnsi="Times New Roman"/>
          <w:sz w:val="18"/>
          <w:szCs w:val="18"/>
          <w:color w:val="auto"/>
        </w:rPr>
      </w:pPr>
    </w:p>
    <w:p>
      <w:pPr>
        <w:ind w:left="102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implementation of a plan to reduce expenses in response to adverse macroeconomic conditions, including an increased focus on financial discipline and rigor throughout our organization; and</w:t>
      </w:r>
    </w:p>
    <w:p>
      <w:pPr>
        <w:spacing w:after="0" w:line="51" w:lineRule="exact"/>
        <w:rPr>
          <w:rFonts w:ascii="Times New Roman" w:cs="Times New Roman" w:eastAsia="Times New Roman" w:hAnsi="Times New Roman"/>
          <w:sz w:val="18"/>
          <w:szCs w:val="18"/>
          <w:color w:val="auto"/>
        </w:rPr>
      </w:pPr>
    </w:p>
    <w:p>
      <w:pPr>
        <w:ind w:left="1020" w:right="540" w:hanging="504"/>
        <w:spacing w:after="0" w:line="283"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impact of general macroeconomic conditions, such as labor shortages, inflation, elevated interest rates, economic slowdowns, and recessions or market corrections.</w:t>
      </w:r>
    </w:p>
    <w:p>
      <w:pPr>
        <w:spacing w:after="0" w:line="65"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color w:val="auto"/>
        </w:rPr>
        <w:t>The above is not a complete list of factors or events that could cause actual results to differ from our expectations, and we cannot predict all of them. All written and oral forward-looking statements attributable to us, or persons acting on our behalf, are expressly qualified in their entirety by the cautionary statements disclosed under “Part I., Item 1A., Risk Factors,” appearing in our Annual Report on Form 10-K for the fiscal year ended February 3, 2024 (our “Fiscal 2023 Form 10-K”) and “Part I., Item 2., Management’s Discussion and Analysis of Financial</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Condition and Results of Operations” and elsewhere in this 10-Q, as such disclosures may be amended, supplemented or superseded from time to time by other reports we file with the Securities and Exchange Commission (the “SEC”), including subsequent Annual Reports on Form 10-K and Quarterly Reports on Form 10-Q, and public communications. You should evaluate all forward-looking statements made in this 10-Q and otherwise in the context of these risks and uncertainties.</w:t>
      </w:r>
    </w:p>
    <w:p>
      <w:pPr>
        <w:spacing w:after="0" w:line="17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Potential investors and other readers are urged to consider these factors carefully in evaluating the forward-looking statements and are cautioned not to place undue reliance on any forward-looking statements we make. These forward-looking statements speak only as of the date of this 10-Q and are not guarantees of future performance or developments and involve known and unknown risks, uncertainties and other factors that are in many cases beyond our control. Except as required by law, we undertake no obligation to update or revise any forward-looking statements publicly,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73" w:lineRule="exact"/>
        <w:rPr>
          <w:sz w:val="20"/>
          <w:szCs w:val="20"/>
          <w:color w:val="auto"/>
        </w:rPr>
      </w:pPr>
    </w:p>
    <w:p>
      <w:pPr>
        <w:jc w:val="center"/>
        <w:ind w:right="40"/>
        <w:spacing w:after="0" w:line="264"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BALANCE SHEETS Amounts in Thousands, Except Par Value Data (unaudited)</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0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 receivable</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Merchandise inventories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438,136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354,710</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19,745</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462,517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380,048</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320,729</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309,377</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175,181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Definite lived intangibles, net</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967,685</w:t>
            </w:r>
          </w:p>
        </w:tc>
        <w:tc>
          <w:tcPr>
            <w:tcW w:w="6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112,690</w:t>
            </w:r>
          </w:p>
        </w:tc>
        <w:tc>
          <w:tcPr>
            <w:tcW w:w="6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56,122</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48,693</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Revolving line of credit</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130,042</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126,043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386,692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314,649</w:t>
            </w:r>
          </w:p>
        </w:tc>
        <w:tc>
          <w:tcPr>
            <w:tcW w:w="100" w:type="dxa"/>
            <w:vAlign w:val="bottom"/>
          </w:tcPr>
          <w:p>
            <w:pPr>
              <w:spacing w:after="0"/>
              <w:rPr>
                <w:sz w:val="18"/>
                <w:szCs w:val="18"/>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Term loan, net</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313,454</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337,423</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307,000</w:t>
            </w:r>
          </w:p>
        </w:tc>
        <w:tc>
          <w:tcPr>
            <w:tcW w:w="100" w:type="dxa"/>
            <w:vAlign w:val="bottom"/>
          </w:tcPr>
          <w:p>
            <w:pPr>
              <w:spacing w:after="0"/>
              <w:rPr>
                <w:sz w:val="18"/>
                <w:szCs w:val="18"/>
                <w:color w:val="auto"/>
              </w:rPr>
            </w:pPr>
          </w:p>
        </w:tc>
      </w:tr>
      <w:tr>
        <w:trPr>
          <w:trHeight w:val="209"/>
        </w:trPr>
        <w:tc>
          <w:tcPr>
            <w:tcW w:w="7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724,115</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621,649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Preferred stock, $.01 par value; 20,000 shares authorized; 0 shares issued and outstanding</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7"/>
        </w:trPr>
        <w:tc>
          <w:tcPr>
            <w:tcW w:w="7080" w:type="dxa"/>
            <w:vAlign w:val="bottom"/>
            <w:shd w:val="clear" w:color="auto" w:fill="CFF0FC"/>
          </w:tcPr>
          <w:p>
            <w:pPr>
              <w:ind w:left="380"/>
              <w:spacing w:after="0" w:line="197" w:lineRule="exact"/>
              <w:rPr>
                <w:sz w:val="20"/>
                <w:szCs w:val="20"/>
                <w:color w:val="auto"/>
              </w:rPr>
            </w:pPr>
            <w:r>
              <w:rPr>
                <w:rFonts w:ascii="Times New Roman" w:cs="Times New Roman" w:eastAsia="Times New Roman" w:hAnsi="Times New Roman"/>
                <w:sz w:val="18"/>
                <w:szCs w:val="18"/>
                <w:color w:val="auto"/>
              </w:rPr>
              <w:t>Common stock, $.01 par value; 100,000 shares authorized; 37,957 and 37,529 shares</w:t>
            </w:r>
          </w:p>
        </w:tc>
        <w:tc>
          <w:tcPr>
            <w:tcW w:w="34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0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outstanding, respectively</w:t>
            </w:r>
          </w:p>
        </w:tc>
        <w:tc>
          <w:tcPr>
            <w:tcW w:w="34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3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FF0FC"/>
          </w:tcPr>
          <w:p>
            <w:pPr>
              <w:spacing w:after="0"/>
              <w:rPr>
                <w:sz w:val="20"/>
                <w:szCs w:val="20"/>
                <w:color w:val="auto"/>
              </w:rPr>
            </w:pPr>
          </w:p>
        </w:tc>
      </w:tr>
      <w:tr>
        <w:trPr>
          <w:trHeight w:val="216"/>
        </w:trPr>
        <w:tc>
          <w:tcPr>
            <w:tcW w:w="70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85,144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81,798</w:t>
            </w:r>
          </w:p>
        </w:tc>
        <w:tc>
          <w:tcPr>
            <w:tcW w:w="100" w:type="dxa"/>
            <w:vAlign w:val="bottom"/>
          </w:tcPr>
          <w:p>
            <w:pPr>
              <w:spacing w:after="0"/>
              <w:rPr>
                <w:sz w:val="18"/>
                <w:szCs w:val="18"/>
                <w:color w:val="auto"/>
              </w:rPr>
            </w:pPr>
          </w:p>
        </w:tc>
      </w:tr>
      <w:tr>
        <w:trPr>
          <w:trHeight w:val="216"/>
        </w:trPr>
        <w:tc>
          <w:tcPr>
            <w:tcW w:w="70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Accumulated earnings</w:t>
            </w:r>
          </w:p>
        </w:tc>
        <w:tc>
          <w:tcPr>
            <w:tcW w:w="34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158,047</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182,383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243,570</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264,556</w:t>
            </w:r>
          </w:p>
        </w:tc>
        <w:tc>
          <w:tcPr>
            <w:tcW w:w="100" w:type="dxa"/>
            <w:vAlign w:val="bottom"/>
          </w:tcPr>
          <w:p>
            <w:pPr>
              <w:spacing w:after="0"/>
              <w:rPr>
                <w:sz w:val="18"/>
                <w:szCs w:val="18"/>
                <w:color w:val="auto"/>
              </w:rPr>
            </w:pPr>
          </w:p>
        </w:tc>
      </w:tr>
      <w:tr>
        <w:trPr>
          <w:trHeight w:val="249"/>
        </w:trPr>
        <w:tc>
          <w:tcPr>
            <w:tcW w:w="708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967,685</w:t>
            </w:r>
          </w:p>
        </w:tc>
        <w:tc>
          <w:tcPr>
            <w:tcW w:w="3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5690235</wp:posOffset>
            </wp:positionH>
            <wp:positionV relativeFrom="paragraph">
              <wp:posOffset>-4366260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-4366260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-3535680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-3535680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-2268220</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-1711960</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-1420495</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-1420495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-316230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-24765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-7620</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768" w:right="33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SPORTSMAN’S WAREHOUSE HOLDINGS, INC. AND SUBSIDIARIES CONDENSED CONSOLIDATED STATEMENTS OF OPERATIONS Amounts in Thousands, Except Per Share Data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20" w:type="dxa"/>
            <w:vAlign w:val="bottom"/>
            <w:gridSpan w:val="5"/>
          </w:tcPr>
          <w:p>
            <w:pPr>
              <w:jc w:val="right"/>
              <w:ind w:right="13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324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9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2"/>
          </w:tcPr>
          <w:p>
            <w:pPr>
              <w:jc w:val="right"/>
              <w:ind w:right="70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35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tcPr>
          <w:p>
            <w:pPr>
              <w:jc w:val="right"/>
              <w:ind w:right="6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tcPr>
          <w:p>
            <w:pPr>
              <w:jc w:val="right"/>
              <w:ind w:right="33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39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324,261</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340,569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857,235</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00" w:type="dxa"/>
            <w:vAlign w:val="bottom"/>
            <w:shd w:val="clear" w:color="auto" w:fill="CFF0FC"/>
          </w:tcPr>
          <w:p>
            <w:pPr>
              <w:spacing w:after="0"/>
              <w:rPr>
                <w:sz w:val="18"/>
                <w:szCs w:val="18"/>
                <w:color w:val="auto"/>
              </w:rPr>
            </w:pP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221,173</w:t>
            </w:r>
          </w:p>
        </w:tc>
        <w:tc>
          <w:tcPr>
            <w:tcW w:w="3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237,384</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590,343</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633,547</w:t>
            </w:r>
          </w:p>
        </w:tc>
        <w:tc>
          <w:tcPr>
            <w:tcW w:w="100" w:type="dxa"/>
            <w:vAlign w:val="bottom"/>
          </w:tcPr>
          <w:p>
            <w:pPr>
              <w:spacing w:after="0"/>
              <w:rPr>
                <w:sz w:val="18"/>
                <w:szCs w:val="18"/>
                <w:color w:val="auto"/>
              </w:rPr>
            </w:pPr>
          </w:p>
        </w:tc>
      </w:tr>
      <w:tr>
        <w:trPr>
          <w:trHeight w:val="209"/>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103,088</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103,185</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266,892</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284,046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99,973</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100,113</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288,727</w:t>
            </w: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301,450</w:t>
            </w:r>
          </w:p>
        </w:tc>
        <w:tc>
          <w:tcPr>
            <w:tcW w:w="100" w:type="dxa"/>
            <w:vAlign w:val="bottom"/>
          </w:tcPr>
          <w:p>
            <w:pPr>
              <w:spacing w:after="0"/>
              <w:rPr>
                <w:sz w:val="24"/>
                <w:szCs w:val="24"/>
                <w:color w:val="auto"/>
              </w:rPr>
            </w:pPr>
          </w:p>
        </w:tc>
      </w:tr>
      <w:tr>
        <w:trPr>
          <w:trHeight w:val="209"/>
        </w:trPr>
        <w:tc>
          <w:tcPr>
            <w:tcW w:w="3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(21,835 )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(17,404 )</w:t>
            </w:r>
          </w:p>
        </w:tc>
      </w:tr>
      <w:tr>
        <w:trPr>
          <w:trHeight w:val="216"/>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Pr>
          <w:p>
            <w:pPr>
              <w:spacing w:after="0"/>
              <w:rPr>
                <w:sz w:val="18"/>
                <w:szCs w:val="18"/>
                <w:color w:val="auto"/>
              </w:rPr>
            </w:pPr>
          </w:p>
        </w:tc>
      </w:tr>
      <w:tr>
        <w:trPr>
          <w:trHeight w:val="216"/>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losses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Pr>
          <w:p>
            <w:pPr>
              <w:spacing w:after="0"/>
              <w:rPr>
                <w:sz w:val="18"/>
                <w:szCs w:val="18"/>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(202 )</w:t>
            </w:r>
          </w:p>
        </w:tc>
        <w:tc>
          <w:tcPr>
            <w:tcW w:w="26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(872 )</w:t>
            </w:r>
          </w:p>
        </w:tc>
        <w:tc>
          <w:tcPr>
            <w:tcW w:w="260" w:type="dxa"/>
            <w:vAlign w:val="bottom"/>
          </w:tcPr>
          <w:p>
            <w:pPr>
              <w:spacing w:after="0"/>
              <w:rPr>
                <w:sz w:val="18"/>
                <w:szCs w:val="18"/>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(31,700 )</w:t>
            </w:r>
          </w:p>
        </w:tc>
        <w:tc>
          <w:tcPr>
            <w:tcW w:w="2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(26,922 )</w:t>
            </w:r>
          </w:p>
        </w:tc>
      </w:tr>
      <w:tr>
        <w:trPr>
          <w:trHeight w:val="21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(7,364 )</w:t>
            </w: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(6,664 )</w:t>
            </w:r>
          </w:p>
        </w:tc>
      </w:tr>
      <w:tr>
        <w:trPr>
          <w:trHeight w:val="20"/>
        </w:trPr>
        <w:tc>
          <w:tcPr>
            <w:tcW w:w="39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(364 )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(1,331 )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(24,336 )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(20,258 )</w:t>
            </w:r>
          </w:p>
        </w:tc>
      </w:tr>
      <w:tr>
        <w:trPr>
          <w:trHeight w:val="20"/>
        </w:trPr>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8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Loss per share:</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(0.04 )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(0.54 )</w:t>
            </w:r>
          </w:p>
        </w:tc>
      </w:tr>
      <w:tr>
        <w:trPr>
          <w:trHeight w:val="20"/>
        </w:trPr>
        <w:tc>
          <w:tcPr>
            <w:tcW w:w="3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98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260" w:type="dxa"/>
            <w:vAlign w:val="bottom"/>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(0.65 )</w:t>
            </w:r>
          </w:p>
        </w:tc>
        <w:tc>
          <w:tcPr>
            <w:tcW w:w="260" w:type="dxa"/>
            <w:vAlign w:val="bottom"/>
            <w:shd w:val="clear" w:color="auto" w:fill="CFF0FC"/>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(0.54 )</w:t>
            </w:r>
          </w:p>
        </w:tc>
      </w:tr>
      <w:tr>
        <w:trPr>
          <w:trHeight w:val="196"/>
        </w:trPr>
        <w:tc>
          <w:tcPr>
            <w:tcW w:w="398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3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3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30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39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37,869</w:t>
            </w:r>
          </w:p>
        </w:tc>
        <w:tc>
          <w:tcPr>
            <w:tcW w:w="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37,393</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37,729</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37,500</w:t>
            </w:r>
          </w:p>
        </w:tc>
        <w:tc>
          <w:tcPr>
            <w:tcW w:w="100" w:type="dxa"/>
            <w:vAlign w:val="bottom"/>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-2080260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-2080260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-2080260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-1377950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-1377950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-1377950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-1095375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-1095375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-487680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-470535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-487680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-470535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-487680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-470535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-187960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-170815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-187960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-170815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Thirteen Weeks Ended November 2, 2024 and October 28,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94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7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68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62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2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July 29, 2023</w:t>
            </w: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79,88</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192,4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272,71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37,381</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68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56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Payment of withholdings on restricted stock</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(92 )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(92 )</w:t>
            </w: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(1,331 )</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(1,331 )</w:t>
            </w:r>
          </w:p>
        </w:tc>
        <w:tc>
          <w:tcPr>
            <w:tcW w:w="0" w:type="dxa"/>
            <w:vAlign w:val="bottom"/>
          </w:tcPr>
          <w:p>
            <w:pPr>
              <w:spacing w:after="0"/>
              <w:rPr>
                <w:sz w:val="1"/>
                <w:szCs w:val="1"/>
                <w:color w:val="auto"/>
              </w:rPr>
            </w:pPr>
          </w:p>
        </w:tc>
      </w:tr>
      <w:tr>
        <w:trPr>
          <w:trHeight w:val="191"/>
        </w:trPr>
        <w:tc>
          <w:tcPr>
            <w:tcW w:w="356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October 28, 2023</w:t>
            </w: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80,76</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191,1</w:t>
            </w: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272,25</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August 3, 2024</w:t>
            </w: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84,24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158,4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243,03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37,848</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378</w:t>
            </w:r>
          </w:p>
        </w:tc>
        <w:tc>
          <w:tcPr>
            <w:tcW w:w="2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3"/>
                <w:szCs w:val="23"/>
                <w:color w:val="auto"/>
              </w:rPr>
            </w:pPr>
          </w:p>
        </w:tc>
        <w:tc>
          <w:tcPr>
            <w:tcW w:w="38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7"/>
                <w:szCs w:val="17"/>
                <w:color w:val="auto"/>
              </w:rPr>
            </w:pPr>
          </w:p>
        </w:tc>
        <w:tc>
          <w:tcPr>
            <w:tcW w:w="7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7"/>
                <w:szCs w:val="17"/>
                <w:color w:val="auto"/>
              </w:rPr>
            </w:pPr>
          </w:p>
        </w:tc>
        <w:tc>
          <w:tcPr>
            <w:tcW w:w="680" w:type="dxa"/>
            <w:vAlign w:val="bottom"/>
          </w:tcPr>
          <w:p>
            <w:pPr>
              <w:ind w:left="48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(2 )</w:t>
            </w:r>
          </w:p>
        </w:tc>
        <w:tc>
          <w:tcPr>
            <w:tcW w:w="140" w:type="dxa"/>
            <w:vAlign w:val="bottom"/>
          </w:tcPr>
          <w:p>
            <w:pPr>
              <w:spacing w:after="0"/>
              <w:rPr>
                <w:sz w:val="17"/>
                <w:szCs w:val="17"/>
                <w:color w:val="auto"/>
              </w:rPr>
            </w:pPr>
          </w:p>
        </w:tc>
        <w:tc>
          <w:tcPr>
            <w:tcW w:w="7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56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(57 )</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(147 )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(364 )</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(364 )</w:t>
            </w:r>
          </w:p>
        </w:tc>
        <w:tc>
          <w:tcPr>
            <w:tcW w:w="0" w:type="dxa"/>
            <w:vAlign w:val="bottom"/>
          </w:tcPr>
          <w:p>
            <w:pPr>
              <w:spacing w:after="0"/>
              <w:rPr>
                <w:sz w:val="1"/>
                <w:szCs w:val="1"/>
                <w:color w:val="auto"/>
              </w:rPr>
            </w:pPr>
          </w:p>
        </w:tc>
      </w:tr>
      <w:tr>
        <w:trPr>
          <w:trHeight w:val="191"/>
        </w:trPr>
        <w:tc>
          <w:tcPr>
            <w:tcW w:w="356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November 2, 2024</w:t>
            </w: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85,14</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158,0</w:t>
            </w: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243,57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379</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3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5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-3501390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-3484245</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-3501390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-3484245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-3501390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-3484245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-3501390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-3484245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-3501390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-3484245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-3501390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-3484245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-3501390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-3484245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-3501390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-3484245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-3501390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-3484245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-2790825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-2790825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-2790825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-2790825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-2790825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-2790825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-2790825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-2790825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-2790825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-2063115</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-2045970</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-2063115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-2045970</wp:posOffset>
            </wp:positionV>
            <wp:extent cx="7683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-2063115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-2045970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-2063115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-2045970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-2063115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-2045970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-2063115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-2045970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-2063115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-2045970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-2063115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-2045970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-2045970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-1351915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-1351915</wp:posOffset>
            </wp:positionV>
            <wp:extent cx="768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-1351915</wp:posOffset>
            </wp:positionV>
            <wp:extent cx="768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-1351915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-1351915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-1351915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-1351915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-1351915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the Thirty-Nine Weeks Ended November 2, 2024 and October 28, 2023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5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Addition</w:t>
            </w:r>
          </w:p>
        </w:tc>
        <w:tc>
          <w:tcPr>
            <w:tcW w:w="840" w:type="dxa"/>
            <w:vAlign w:val="bottom"/>
            <w:tcBorders>
              <w:top w:val="single" w:sz="8" w:color="auto"/>
            </w:tcBorders>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Accumul</w:t>
            </w: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vMerge w:val="restart"/>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al</w:t>
            </w:r>
          </w:p>
        </w:tc>
        <w:tc>
          <w:tcPr>
            <w:tcW w:w="140" w:type="dxa"/>
            <w:vAlign w:val="bottom"/>
          </w:tcPr>
          <w:p>
            <w:pPr>
              <w:spacing w:after="0"/>
              <w:rPr>
                <w:sz w:val="12"/>
                <w:szCs w:val="12"/>
                <w:color w:val="auto"/>
              </w:rPr>
            </w:pPr>
          </w:p>
        </w:tc>
        <w:tc>
          <w:tcPr>
            <w:tcW w:w="7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ated</w:t>
            </w:r>
          </w:p>
        </w:tc>
        <w:tc>
          <w:tcPr>
            <w:tcW w:w="12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Restricted nonvoting</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4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6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stockhold</w:t>
            </w:r>
          </w:p>
        </w:tc>
        <w:tc>
          <w:tcPr>
            <w:tcW w:w="0" w:type="dxa"/>
            <w:vAlign w:val="bottom"/>
          </w:tcPr>
          <w:p>
            <w:pPr>
              <w:spacing w:after="0"/>
              <w:rPr>
                <w:sz w:val="1"/>
                <w:szCs w:val="1"/>
                <w:color w:val="auto"/>
              </w:rPr>
            </w:pPr>
          </w:p>
        </w:tc>
      </w:tr>
      <w:tr>
        <w:trPr>
          <w:trHeight w:val="148"/>
        </w:trPr>
        <w:tc>
          <w:tcPr>
            <w:tcW w:w="3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ers</w:t>
            </w:r>
          </w:p>
        </w:tc>
        <w:tc>
          <w:tcPr>
            <w:tcW w:w="0" w:type="dxa"/>
            <w:vAlign w:val="bottom"/>
          </w:tcPr>
          <w:p>
            <w:pPr>
              <w:spacing w:after="0"/>
              <w:rPr>
                <w:sz w:val="1"/>
                <w:szCs w:val="1"/>
                <w:color w:val="auto"/>
              </w:rPr>
            </w:pPr>
          </w:p>
        </w:tc>
      </w:tr>
      <w:tr>
        <w:trPr>
          <w:trHeight w:val="173"/>
        </w:trPr>
        <w:tc>
          <w:tcPr>
            <w:tcW w:w="35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gridSpan w:val="5"/>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00" w:type="dxa"/>
            <w:vAlign w:val="bottom"/>
          </w:tcPr>
          <w:p>
            <w:pPr>
              <w:spacing w:after="0"/>
              <w:rPr>
                <w:sz w:val="15"/>
                <w:szCs w:val="15"/>
                <w:color w:val="auto"/>
              </w:rPr>
            </w:pPr>
          </w:p>
        </w:tc>
        <w:tc>
          <w:tcPr>
            <w:tcW w:w="7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6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70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2"/>
                <w:szCs w:val="12"/>
                <w:color w:val="auto"/>
              </w:rPr>
            </w:pPr>
          </w:p>
        </w:tc>
        <w:tc>
          <w:tcPr>
            <w:tcW w:w="9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82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09"/>
        </w:trPr>
        <w:tc>
          <w:tcPr>
            <w:tcW w:w="356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January 28, 2023</w:t>
            </w: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79,74</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8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212,9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293,11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6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37,541</w:t>
            </w:r>
          </w:p>
        </w:tc>
        <w:tc>
          <w:tcPr>
            <w:tcW w:w="240" w:type="dxa"/>
            <w:vAlign w:val="bottom"/>
            <w:tcBorders>
              <w:bottom w:val="single" w:sz="8" w:color="CFF0FC"/>
            </w:tcBorders>
            <w:shd w:val="clear" w:color="auto" w:fill="CFF0FC"/>
          </w:tcPr>
          <w:p>
            <w:pPr>
              <w:spacing w:after="0"/>
              <w:rPr>
                <w:sz w:val="23"/>
                <w:szCs w:val="23"/>
                <w:color w:val="auto"/>
              </w:rPr>
            </w:pPr>
          </w:p>
        </w:tc>
        <w:tc>
          <w:tcPr>
            <w:tcW w:w="30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Borders>
              <w:bottom w:val="single" w:sz="8" w:color="CFF0FC"/>
            </w:tcBorders>
            <w:shd w:val="clear" w:color="auto" w:fill="CFF0FC"/>
          </w:tcPr>
          <w:p>
            <w:pPr>
              <w:spacing w:after="0"/>
              <w:rPr>
                <w:sz w:val="23"/>
                <w:szCs w:val="23"/>
                <w:color w:val="auto"/>
              </w:rPr>
            </w:pPr>
          </w:p>
        </w:tc>
        <w:tc>
          <w:tcPr>
            <w:tcW w:w="700" w:type="dxa"/>
            <w:vAlign w:val="bottom"/>
            <w:tcBorders>
              <w:bottom w:val="single" w:sz="8" w:color="auto"/>
            </w:tcBorders>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3"/>
                <w:szCs w:val="23"/>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Repurchase of treasury stock</w:t>
            </w:r>
          </w:p>
        </w:tc>
        <w:tc>
          <w:tcPr>
            <w:tcW w:w="9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7"/>
                <w:szCs w:val="17"/>
                <w:color w:val="auto"/>
              </w:rPr>
            </w:pPr>
          </w:p>
        </w:tc>
        <w:tc>
          <w:tcPr>
            <w:tcW w:w="540" w:type="dxa"/>
            <w:vAlign w:val="bottom"/>
            <w:gridSpan w:val="2"/>
          </w:tcPr>
          <w:p>
            <w:pPr>
              <w:jc w:val="right"/>
              <w:ind w:righ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529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w w:val="98"/>
              </w:rPr>
              <w:t>(2,748 )</w:t>
            </w:r>
          </w:p>
        </w:tc>
        <w:tc>
          <w:tcPr>
            <w:tcW w:w="100" w:type="dxa"/>
            <w:vAlign w:val="bottom"/>
          </w:tcPr>
          <w:p>
            <w:pPr>
              <w:spacing w:after="0"/>
              <w:rPr>
                <w:sz w:val="17"/>
                <w:szCs w:val="17"/>
                <w:color w:val="auto"/>
              </w:rPr>
            </w:pPr>
          </w:p>
        </w:tc>
        <w:tc>
          <w:tcPr>
            <w:tcW w:w="72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7"/>
                <w:szCs w:val="17"/>
                <w:color w:val="auto"/>
              </w:rPr>
            </w:pPr>
          </w:p>
        </w:tc>
        <w:tc>
          <w:tcPr>
            <w:tcW w:w="70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6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(2,748 )</w:t>
            </w: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Retirement of treasury stock</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(529 )</w:t>
            </w:r>
          </w:p>
        </w:tc>
        <w:tc>
          <w:tcPr>
            <w:tcW w:w="3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(5 )</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11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(529 )</w:t>
            </w: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(1,128 )</w:t>
            </w: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4"/>
              </w:rPr>
              <w:t>(1,615 )</w:t>
            </w: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56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8"/>
              </w:rPr>
              <w:t>(1,649 )</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(1,649 )</w:t>
            </w:r>
          </w:p>
        </w:tc>
        <w:tc>
          <w:tcPr>
            <w:tcW w:w="0" w:type="dxa"/>
            <w:vAlign w:val="bottom"/>
          </w:tcPr>
          <w:p>
            <w:pPr>
              <w:spacing w:after="0"/>
              <w:rPr>
                <w:sz w:val="1"/>
                <w:szCs w:val="1"/>
                <w:color w:val="auto"/>
              </w:rPr>
            </w:pPr>
          </w:p>
        </w:tc>
      </w:tr>
      <w:tr>
        <w:trPr>
          <w:trHeight w:val="197"/>
        </w:trPr>
        <w:tc>
          <w:tcPr>
            <w:tcW w:w="356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6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rPr>
              <w:t>Net loss</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(20,25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191"/>
        </w:trPr>
        <w:tc>
          <w:tcPr>
            <w:tcW w:w="35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October 28, 2023</w:t>
            </w:r>
          </w:p>
        </w:tc>
        <w:tc>
          <w:tcPr>
            <w:tcW w:w="7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80,76</w:t>
            </w: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4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191,1</w:t>
            </w: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54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272,25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74"/>
        </w:trPr>
        <w:tc>
          <w:tcPr>
            <w:tcW w:w="3560" w:type="dxa"/>
            <w:vAlign w:val="bottom"/>
            <w:shd w:val="clear" w:color="auto" w:fill="CFF0FC"/>
          </w:tcPr>
          <w:p>
            <w:pPr>
              <w:spacing w:after="0"/>
              <w:rPr>
                <w:sz w:val="23"/>
                <w:szCs w:val="2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37,411</w:t>
            </w:r>
          </w:p>
        </w:tc>
        <w:tc>
          <w:tcPr>
            <w:tcW w:w="240" w:type="dxa"/>
            <w:vAlign w:val="bottom"/>
            <w:shd w:val="clear" w:color="auto" w:fill="CFF0FC"/>
          </w:tcPr>
          <w:p>
            <w:pPr>
              <w:spacing w:after="0"/>
              <w:rPr>
                <w:sz w:val="23"/>
                <w:szCs w:val="23"/>
                <w:color w:val="auto"/>
              </w:rPr>
            </w:pPr>
          </w:p>
        </w:tc>
        <w:tc>
          <w:tcPr>
            <w:tcW w:w="30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374</w:t>
            </w:r>
          </w:p>
        </w:tc>
        <w:tc>
          <w:tcPr>
            <w:tcW w:w="240" w:type="dxa"/>
            <w:vAlign w:val="bottom"/>
            <w:shd w:val="clear" w:color="auto" w:fill="CFF0FC"/>
          </w:tcPr>
          <w:p>
            <w:pPr>
              <w:spacing w:after="0"/>
              <w:rPr>
                <w:sz w:val="23"/>
                <w:szCs w:val="23"/>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3"/>
                <w:szCs w:val="23"/>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FF0FC"/>
          </w:tcPr>
          <w:p>
            <w:pPr>
              <w:spacing w:after="0"/>
              <w:rPr>
                <w:sz w:val="23"/>
                <w:szCs w:val="23"/>
                <w:color w:val="auto"/>
              </w:rPr>
            </w:pP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top w:val="single" w:sz="8" w:color="CFF0FC"/>
              <w:bottom w:val="single" w:sz="8" w:color="CFF0FC"/>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7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35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81,79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182,3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264,55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37,529</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375</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Vesting of restricted stock units</w:t>
            </w:r>
          </w:p>
        </w:tc>
        <w:tc>
          <w:tcPr>
            <w:tcW w:w="7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430</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ind w:left="50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7"/>
        </w:trPr>
        <w:tc>
          <w:tcPr>
            <w:tcW w:w="356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rPr>
              <w:t>Payment of withholdings on</w:t>
            </w: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stock units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(103 )</w:t>
            </w:r>
          </w:p>
        </w:tc>
        <w:tc>
          <w:tcPr>
            <w:tcW w:w="300" w:type="dxa"/>
            <w:vAlign w:val="bottom"/>
          </w:tcPr>
          <w:p>
            <w:pPr>
              <w:spacing w:after="0"/>
              <w:rPr>
                <w:sz w:val="20"/>
                <w:szCs w:val="20"/>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(296 )</w:t>
            </w:r>
          </w:p>
        </w:tc>
        <w:tc>
          <w:tcPr>
            <w:tcW w:w="140" w:type="dxa"/>
            <w:vAlign w:val="bottom"/>
          </w:tcPr>
          <w:p>
            <w:pPr>
              <w:spacing w:after="0"/>
              <w:rPr>
                <w:sz w:val="20"/>
                <w:szCs w:val="20"/>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(297 )</w:t>
            </w:r>
          </w:p>
        </w:tc>
        <w:tc>
          <w:tcPr>
            <w:tcW w:w="0" w:type="dxa"/>
            <w:vAlign w:val="bottom"/>
          </w:tcPr>
          <w:p>
            <w:pPr>
              <w:spacing w:after="0"/>
              <w:rPr>
                <w:sz w:val="1"/>
                <w:szCs w:val="1"/>
                <w:color w:val="auto"/>
              </w:rPr>
            </w:pPr>
          </w:p>
        </w:tc>
      </w:tr>
      <w:tr>
        <w:trPr>
          <w:trHeight w:val="197"/>
        </w:trPr>
        <w:tc>
          <w:tcPr>
            <w:tcW w:w="356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Issuance of common stock for</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per employee stock purchase</w:t>
            </w: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plan</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560" w:type="dxa"/>
            <w:vAlign w:val="bottom"/>
            <w:shd w:val="clear" w:color="auto" w:fill="CFF0FC"/>
          </w:tcPr>
          <w:p>
            <w:pPr>
              <w:ind w:left="200"/>
              <w:spacing w:after="0" w:line="197" w:lineRule="exact"/>
              <w:rPr>
                <w:sz w:val="20"/>
                <w:szCs w:val="20"/>
                <w:color w:val="auto"/>
              </w:rPr>
            </w:pPr>
            <w:r>
              <w:rPr>
                <w:rFonts w:ascii="Times New Roman" w:cs="Times New Roman" w:eastAsia="Times New Roman" w:hAnsi="Times New Roman"/>
                <w:sz w:val="18"/>
                <w:szCs w:val="18"/>
                <w:color w:val="auto"/>
              </w:rPr>
              <w:t>Net loss</w:t>
            </w: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w w:val="98"/>
              </w:rPr>
              <w:t>(24,33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line="197" w:lineRule="exact"/>
              <w:rPr>
                <w:sz w:val="20"/>
                <w:szCs w:val="20"/>
                <w:color w:val="auto"/>
              </w:rPr>
            </w:pPr>
            <w:r>
              <w:rPr>
                <w:rFonts w:ascii="Times New Roman" w:cs="Times New Roman" w:eastAsia="Times New Roman" w:hAnsi="Times New Roman"/>
                <w:sz w:val="18"/>
                <w:szCs w:val="18"/>
                <w:color w:val="auto"/>
              </w:rPr>
              <w:t>(24,33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5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191"/>
        </w:trPr>
        <w:tc>
          <w:tcPr>
            <w:tcW w:w="3560" w:type="dxa"/>
            <w:vAlign w:val="bottom"/>
            <w:tcBorders>
              <w:top w:val="single" w:sz="8" w:color="CFF0FC"/>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Balance at November 2, 2024</w:t>
            </w: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85,14</w:t>
            </w:r>
          </w:p>
        </w:tc>
        <w:tc>
          <w:tcPr>
            <w:tcW w:w="200" w:type="dxa"/>
            <w:vAlign w:val="bottom"/>
            <w:tcBorders>
              <w:top w:val="single" w:sz="8" w:color="CFF0FC"/>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158,0</w:t>
            </w: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243,57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37,957</w:t>
            </w:r>
          </w:p>
        </w:tc>
        <w:tc>
          <w:tcPr>
            <w:tcW w:w="240" w:type="dxa"/>
            <w:vAlign w:val="bottom"/>
          </w:tcPr>
          <w:p>
            <w:pPr>
              <w:spacing w:after="0"/>
              <w:rPr>
                <w:sz w:val="20"/>
                <w:szCs w:val="20"/>
                <w:color w:val="auto"/>
              </w:rPr>
            </w:pPr>
          </w:p>
        </w:tc>
        <w:tc>
          <w:tcPr>
            <w:tcW w:w="3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379</w:t>
            </w:r>
          </w:p>
        </w:tc>
        <w:tc>
          <w:tcPr>
            <w:tcW w:w="240" w:type="dxa"/>
            <w:vAlign w:val="bottom"/>
          </w:tcPr>
          <w:p>
            <w:pPr>
              <w:spacing w:after="0"/>
              <w:rPr>
                <w:sz w:val="20"/>
                <w:szCs w:val="20"/>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2701925</wp:posOffset>
            </wp:positionH>
            <wp:positionV relativeFrom="paragraph">
              <wp:posOffset>-3826510</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-3809365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-3826510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-3809365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-3826510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-3809365</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-3826510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-3809365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-3826510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-3809365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-3826510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-3809365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-3826510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-3809365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-3826510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-3809365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-3826510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-3809365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-2011680</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-1994535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-2011680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-1994535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-1994535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-2011680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-1994535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-2011680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-1994535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-2011680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-1994535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-2011680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-1994535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-2011680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-1994535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-2011680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-1994535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2701925</wp:posOffset>
            </wp:positionH>
            <wp:positionV relativeFrom="paragraph">
              <wp:posOffset>-307340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-307340</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3832225</wp:posOffset>
            </wp:positionH>
            <wp:positionV relativeFrom="paragraph">
              <wp:posOffset>-307340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4363085</wp:posOffset>
            </wp:positionH>
            <wp:positionV relativeFrom="paragraph">
              <wp:posOffset>-307340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4928235</wp:posOffset>
            </wp:positionH>
            <wp:positionV relativeFrom="paragraph">
              <wp:posOffset>-307340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-307340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5989955</wp:posOffset>
            </wp:positionH>
            <wp:positionV relativeFrom="paragraph">
              <wp:posOffset>-307340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-307340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SPORTSMAN'S WAREHOUSE HOLDINGS,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80" w:type="dxa"/>
        <w:tblCellMar>
          <w:top w:w="0" w:type="dxa"/>
          <w:left w:w="0" w:type="dxa"/>
          <w:bottom w:w="0" w:type="dxa"/>
          <w:right w:w="0" w:type="dxa"/>
        </w:tblCellMar>
      </w:tblPr>
      <w:tr>
        <w:trPr>
          <w:trHeight w:val="157"/>
        </w:trPr>
        <w:tc>
          <w:tcPr>
            <w:tcW w:w="7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5"/>
          </w:tcPr>
          <w:p>
            <w:pPr>
              <w:jc w:val="right"/>
              <w:ind w:right="820"/>
              <w:spacing w:after="0" w:line="157" w:lineRule="exact"/>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79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5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51"/>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79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09"/>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(24,336 )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(20,258 )</w:t>
            </w: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28,367</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debt and deferred financing fees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definite lived intangible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Loss on asset dispositions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24,493</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(6,975 )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(6,664 )</w:t>
            </w:r>
          </w:p>
        </w:tc>
      </w:tr>
      <w:tr>
        <w:trPr>
          <w:trHeight w:val="216"/>
        </w:trPr>
        <w:tc>
          <w:tcPr>
            <w:tcW w:w="7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 net of amounts acquired:</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(1,051 )</w:t>
            </w:r>
          </w:p>
        </w:tc>
      </w:tr>
      <w:tr>
        <w:trPr>
          <w:trHeight w:val="216"/>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(7,964 )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(10,539 )</w:t>
            </w:r>
          </w:p>
        </w:tc>
      </w:tr>
      <w:tr>
        <w:trPr>
          <w:trHeight w:val="216"/>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Merchandise inventories</w:t>
            </w: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(83,426 )</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(47,196 )</w:t>
            </w:r>
          </w:p>
        </w:tc>
      </w:tr>
      <w:tr>
        <w:trPr>
          <w:trHeight w:val="216"/>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(7,403 )</w:t>
            </w:r>
          </w:p>
        </w:tc>
      </w:tr>
      <w:tr>
        <w:trPr>
          <w:trHeight w:val="216"/>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56,128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26,081</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9,727</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(4,413 )</w:t>
            </w:r>
          </w:p>
        </w:tc>
      </w:tr>
      <w:tr>
        <w:trPr>
          <w:trHeight w:val="216"/>
        </w:trPr>
        <w:tc>
          <w:tcPr>
            <w:tcW w:w="7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 and receivable</w:t>
            </w: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(649 )</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(1,554 )</w:t>
            </w:r>
          </w:p>
        </w:tc>
      </w:tr>
      <w:tr>
        <w:trPr>
          <w:trHeight w:val="20"/>
        </w:trPr>
        <w:tc>
          <w:tcPr>
            <w:tcW w:w="7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6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(18,671 )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(16,637 )</w:t>
            </w:r>
          </w:p>
        </w:tc>
      </w:tr>
      <w:tr>
        <w:trPr>
          <w:trHeight w:val="209"/>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 net of amounts acquired</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(11,305 )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(71,170 )</w:t>
            </w: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09"/>
        </w:trPr>
        <w:tc>
          <w:tcPr>
            <w:tcW w:w="79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(11,250 )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(71,170 )</w:t>
            </w:r>
          </w:p>
        </w:tc>
      </w:tr>
      <w:tr>
        <w:trPr>
          <w:trHeight w:val="209"/>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borrowings on line of credit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97,885</w:t>
            </w: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Borrowings on term loan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Increase (Decrease) in book overdraft</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(5,611 )</w:t>
            </w: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per employee stock purchase plan</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Payments to acquire treasury stock</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(2,748 )</w:t>
            </w: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withholdings on restricted stock units</w:t>
            </w:r>
          </w:p>
        </w:tc>
        <w:tc>
          <w:tcPr>
            <w:tcW w:w="20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(296 )</w:t>
            </w:r>
          </w:p>
        </w:tc>
        <w:tc>
          <w:tcPr>
            <w:tcW w:w="2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(1,649 )</w:t>
            </w: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Payment of deferred financing costs and discount on term loan</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(1,135 )</w:t>
            </w:r>
          </w:p>
        </w:tc>
        <w:tc>
          <w:tcPr>
            <w:tcW w:w="2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96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00" w:type="dxa"/>
            <w:vAlign w:val="bottom"/>
            <w:tcBorders>
              <w:top w:val="single" w:sz="8" w:color="CFF0FC"/>
            </w:tcBorders>
          </w:tcPr>
          <w:p>
            <w:pPr>
              <w:spacing w:after="0"/>
              <w:rPr>
                <w:sz w:val="18"/>
                <w:szCs w:val="18"/>
                <w:color w:val="auto"/>
              </w:rPr>
            </w:pPr>
          </w:p>
        </w:tc>
      </w:tr>
      <w:tr>
        <w:trPr>
          <w:trHeight w:val="209"/>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(475 )</w:t>
            </w: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FF0FC"/>
          </w:tcPr>
          <w:p>
            <w:pPr>
              <w:spacing w:after="0"/>
              <w:rPr>
                <w:sz w:val="18"/>
                <w:szCs w:val="18"/>
                <w:color w:val="auto"/>
              </w:rPr>
            </w:pPr>
          </w:p>
        </w:tc>
      </w:tr>
      <w:tr>
        <w:trPr>
          <w:trHeight w:val="209"/>
        </w:trPr>
        <w:tc>
          <w:tcPr>
            <w:tcW w:w="7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tcBorders>
              <w:top w:val="single" w:sz="8" w:color="CFF0FC"/>
            </w:tcBorders>
          </w:tcPr>
          <w:p>
            <w:pPr>
              <w:spacing w:after="0"/>
              <w:rPr>
                <w:sz w:val="18"/>
                <w:szCs w:val="18"/>
                <w:color w:val="auto"/>
              </w:rPr>
            </w:pPr>
          </w:p>
        </w:tc>
      </w:tr>
      <w:tr>
        <w:trPr>
          <w:trHeight w:val="249"/>
        </w:trPr>
        <w:tc>
          <w:tcPr>
            <w:tcW w:w="7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2"/>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net of amounts capitalized</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w:t>
            </w:r>
          </w:p>
        </w:tc>
        <w:tc>
          <w:tcPr>
            <w:tcW w:w="100" w:type="dxa"/>
            <w:vAlign w:val="bottom"/>
          </w:tcPr>
          <w:p>
            <w:pPr>
              <w:spacing w:after="0"/>
              <w:rPr>
                <w:sz w:val="18"/>
                <w:szCs w:val="18"/>
                <w:color w:val="auto"/>
              </w:rPr>
            </w:pPr>
          </w:p>
        </w:tc>
      </w:tr>
      <w:tr>
        <w:trPr>
          <w:trHeight w:val="216"/>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00" w:type="dxa"/>
            <w:vAlign w:val="bottom"/>
            <w:shd w:val="clear" w:color="auto" w:fill="CFF0FC"/>
          </w:tcPr>
          <w:p>
            <w:pPr>
              <w:spacing w:after="0"/>
              <w:rPr>
                <w:sz w:val="18"/>
                <w:szCs w:val="18"/>
                <w:color w:val="auto"/>
              </w:rPr>
            </w:pPr>
          </w:p>
        </w:tc>
      </w:tr>
      <w:tr>
        <w:trPr>
          <w:trHeight w:val="431"/>
        </w:trPr>
        <w:tc>
          <w:tcPr>
            <w:tcW w:w="796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schedule of noncash activities: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7960" w:type="dxa"/>
            <w:vAlign w:val="bottom"/>
            <w:shd w:val="clear" w:color="auto" w:fill="CFF0FC"/>
          </w:tcPr>
          <w:p>
            <w:pPr>
              <w:ind w:left="180"/>
              <w:spacing w:after="0" w:line="197" w:lineRule="exact"/>
              <w:rPr>
                <w:sz w:val="20"/>
                <w:szCs w:val="20"/>
                <w:color w:val="auto"/>
              </w:rPr>
            </w:pPr>
            <w:r>
              <w:rPr>
                <w:rFonts w:ascii="Times New Roman" w:cs="Times New Roman" w:eastAsia="Times New Roman" w:hAnsi="Times New Roman"/>
                <w:sz w:val="18"/>
                <w:szCs w:val="18"/>
                <w:color w:val="auto"/>
              </w:rPr>
              <w:t>Noncash change in operating lease right of use asset and operating lease liabilities from remeasurement</w:t>
            </w: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9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of existing leases and addition of new leases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52,314</w:t>
            </w:r>
          </w:p>
        </w:tc>
        <w:tc>
          <w:tcPr>
            <w:tcW w:w="100" w:type="dxa"/>
            <w:vAlign w:val="bottom"/>
            <w:shd w:val="clear" w:color="auto" w:fill="CFF0FC"/>
          </w:tcPr>
          <w:p>
            <w:pPr>
              <w:spacing w:after="0"/>
              <w:rPr>
                <w:sz w:val="20"/>
                <w:szCs w:val="20"/>
                <w:color w:val="auto"/>
              </w:rPr>
            </w:pPr>
          </w:p>
        </w:tc>
      </w:tr>
      <w:tr>
        <w:trPr>
          <w:trHeight w:val="234"/>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included in accounts payable and accrued expenses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-3658870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-3658870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-3093720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-3093720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-1988820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-1988820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-1697990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-1697990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-1406525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-1389380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-1406525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-1389380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80"/>
          </w:cols>
          <w:pgMar w:left="320" w:top="768" w:right="39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498475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1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amounts (unaudited)</w:t>
      </w:r>
    </w:p>
    <w:p>
      <w:pPr>
        <w:spacing w:after="0" w:line="310" w:lineRule="exact"/>
        <w:rPr>
          <w:sz w:val="20"/>
          <w:szCs w:val="20"/>
          <w:color w:val="auto"/>
        </w:rPr>
      </w:pPr>
    </w:p>
    <w:p>
      <w:pPr>
        <w:ind w:right="7200" w:firstLine="8"/>
        <w:spacing w:after="0" w:line="377" w:lineRule="auto"/>
        <w:tabs>
          <w:tab w:leader="none" w:pos="25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Description of Business</w:t>
      </w:r>
    </w:p>
    <w:p>
      <w:pPr>
        <w:spacing w:after="0" w:line="1" w:lineRule="exact"/>
        <w:rPr>
          <w:sz w:val="20"/>
          <w:szCs w:val="20"/>
          <w:color w:val="auto"/>
        </w:rPr>
      </w:pPr>
    </w:p>
    <w:p>
      <w:pPr>
        <w:ind w:right="400"/>
        <w:spacing w:after="0" w:line="265" w:lineRule="auto"/>
        <w:rPr>
          <w:sz w:val="20"/>
          <w:szCs w:val="20"/>
          <w:color w:val="auto"/>
        </w:rPr>
      </w:pPr>
      <w:r>
        <w:rPr>
          <w:rFonts w:ascii="Times New Roman" w:cs="Times New Roman" w:eastAsia="Times New Roman" w:hAnsi="Times New Roman"/>
          <w:sz w:val="18"/>
          <w:szCs w:val="18"/>
          <w:color w:val="auto"/>
        </w:rPr>
        <w:t>Sportsman’s Warehouse Holdings, Inc., a Delaware corporation (“Holdings”), and its subsidiaries (collectively, the “Company”) operate retail sporting goods stores. As of November 2, 2024, the Company operated 146 stores in 32 states. The Company also operates an e-commerce platform at www.sportsmans.com. The Company’s stores and website are aggregated into one operating and reportable segment.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by management of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(“GAAP”) have been condensed or omitted pursuant to such rules and regulations. The Company’s condensed consolidated balance sheet as of February 3, 2024 was derived from the Company’s audited consolidated balance sheet as of that date. All other condensed consolidated financial statements contained herein are unaudited and reflect all adjustments that are, in the opinion of management, necessary to summarize fairly the Company's condensed consolidated financial statements for the periods presented. All of these adjustments are of a normal recurring nature. The results of the fiscal quarter ended November 2, 2024 are not necessarily indicative of the results to be obtained for the fiscal year ending February 1, 2025. These condensed consolidated financial statements should be read in conjunction with the Company’s audited consolidated financial statements and notes thereto included in the Company’s Annual Report on Form 10-K for the fiscal year ended February 3, 2024 filed with the SEC on April 4, 2024 (the “Fiscal 2023 Form 10-K”).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34"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2 to the Fiscal 2023 Form 10-K. The Company has consistently applied the accounting policies to all periods presented in the condensed consolidated financial statements presented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280)—Improvements to Reportable Segment Disclosures, which aims to improve reportable segment disclosure requirements, primarily through enhanced disclosures about significant segment expenses. In addition, the amendments in the ASU enhance interim disclosure requirements, clarify circumstances in which an entity can disclose multiple segment measures of profit or loss, provide new segment disclosure requirements for entities with a single reportable segment, and contain other disclosure requirements. The ASU applies to all public entities that are required to report segment information in accordance with ASC 280, and is effective for fiscal years beginning after December 15, 2023 and interim periods within fiscal years beginning after December 15, 2024, with early adoption permitted. The Company has not elected early adoption and will implement this ASU beginning with its the fiscal period ending February 1, 2025.</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740)—Improvements to Income Tax Disclosures, which include improvements to income tax disclosures by requiring (1) consistent categories and greater disaggregation of information in the rate reconciliation and (2) income taxes paid disaggregated by jurisdiction. This ASU also includes certain other amendments to better align disclosures with Regulation S-X and to remove disclosures no longer considered cost beneficial or relevant. This ASU is effective for public entities for annual periods beginning after December 15, 2024, with earlier or retrospective application permitted. The amendments in this ASU should be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applied prospectively for annual financial statements not yet issued or made available for issuance. The Company is evaluating the future impact of the issuance of this ASU on its consolidated financial statements.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accounting policy</w:t>
      </w:r>
    </w:p>
    <w:p>
      <w:pPr>
        <w:spacing w:after="0" w:line="119"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The Company operates solely as an outdoor retailer, which includes both retail stores and an e-commerce platform, that offers a broad range of products in the United States and online. Generally, all revenues are recognized when control of the promised goods is transferred to customers, in an amount that reflects the consideration in exchange for those goods. Accordingly, the Company implicitly enters into a contract with customers to deliver merchandise inventory at the point of sale. Collectability is reasonably assured since the Company only extends immaterial credit for purchases to certain municipalities.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revenue is for single performance obligations for the following distinct items:</w:t>
      </w:r>
    </w:p>
    <w:p>
      <w:pPr>
        <w:spacing w:after="0" w:line="117" w:lineRule="exact"/>
        <w:rPr>
          <w:sz w:val="20"/>
          <w:szCs w:val="20"/>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store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E-commerce sales</w:t>
      </w:r>
    </w:p>
    <w:p>
      <w:pPr>
        <w:spacing w:after="0" w:line="116" w:lineRule="exact"/>
        <w:rPr>
          <w:rFonts w:ascii="Times New Roman" w:cs="Times New Roman" w:eastAsia="Times New Roman" w:hAnsi="Times New Roman"/>
          <w:sz w:val="18"/>
          <w:szCs w:val="18"/>
          <w:color w:val="auto"/>
        </w:rPr>
      </w:pPr>
    </w:p>
    <w:p>
      <w:pPr>
        <w:ind w:left="900" w:hanging="518"/>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Gift cards and loyalty rewards program</w:t>
      </w:r>
    </w:p>
    <w:p>
      <w:pPr>
        <w:spacing w:after="0" w:line="22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For performance obligations related to retail store and e-commerce sales contracts, the Company typically transfers control, for retail stores, upon consummation of the sale when the product is paid for and taken by the customer and, for e-commerce sales, when the products are tendered for delivery to the common carrier.</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transaction price for each contract is the stated price on the product, reduced by any stated discounts at that point in time. The Company does not engage in sales of products that attach a future material right which could result in a separate performance obligation for the purchase of goods in the future at a material discount. The implicit point-of-sale contract with the customer, as reflected in the transaction receipt, states the final terms of the sale, including the description, quantity, and price of each product purchased. Payment for the Company’s contracts is due in full upon delivery. The customer agrees to a stated price implicit in the contract that does not vary over the contract.</w:t>
      </w:r>
    </w:p>
    <w:p>
      <w:pPr>
        <w:spacing w:after="0" w:line="182"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The transaction price relative to sales subject to a right of return reflects the amount of estimated consideration to which the Company expects to be entitled. This amount of variable consideration included in the transaction price, and measurement of net sales, is included in net sales only to the extent that it is probable that there will be no significant reversal in a future period. Actual amounts of consideration ultimately received may differ from the Company’s estimates. The allowance for sales returns is estimated based upon historical experience and a provision for estimated returns is recorded as a reduction in sales in the relevant period. The estimated merchandise inventory cost related to the sales returns is recorded in prepaid expenses and other. The estimated refund liabilities are recorded in accrued expenses. If actual results in the future vary from the Company’s estimates, the Company adjusts these estimates, which would affect net sales and earnings in the period such variances become known.</w:t>
      </w:r>
    </w:p>
    <w:p>
      <w:pPr>
        <w:spacing w:after="0" w:line="18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Contract liabilities are recognized primarily for gift card sales and the Company’s loyalty reward program. Cash received from the sale of gift cards is recorded as a contract liability in accrued expenses, and the Company recognizes revenue upon the customer’s redemption of the gift card. Gift card breakage is recognized as revenue in proportion to the pattern of customer redemptions by applying a historical breakage rate of 4.0% when no escheat liability to relevant jurisdictions exists. Based upon historical experience, gift cards are predominantly redeemed in the first two years following their issuance date. The Company does not sell or provide gift cards that carry expiration dates.</w:t>
      </w:r>
    </w:p>
    <w:p>
      <w:pPr>
        <w:spacing w:after="0" w:line="182" w:lineRule="exact"/>
        <w:rPr>
          <w:sz w:val="20"/>
          <w:szCs w:val="20"/>
          <w:color w:val="auto"/>
        </w:rPr>
      </w:pPr>
    </w:p>
    <w:p>
      <w:pPr>
        <w:jc w:val="both"/>
        <w:ind w:right="240"/>
        <w:spacing w:after="0" w:line="265" w:lineRule="auto"/>
        <w:rPr>
          <w:sz w:val="20"/>
          <w:szCs w:val="20"/>
          <w:color w:val="auto"/>
        </w:rPr>
      </w:pPr>
      <w:r>
        <w:rPr>
          <w:rFonts w:ascii="Times New Roman" w:cs="Times New Roman" w:eastAsia="Times New Roman" w:hAnsi="Times New Roman"/>
          <w:sz w:val="18"/>
          <w:szCs w:val="18"/>
          <w:color w:val="auto"/>
        </w:rPr>
        <w:t>Accounting Standards Codification (“ASC”) 606 requires the Company to allocate the transaction price between the goods and the loyalty reward points based on the relative standalone selling price. The Company recognizes revenue for the breakage of loyalty reward points as revenue in proportion to the pattern of customer redemption of the points by applying an estimated breakage rate of 35.0% using historical rates and future expectations.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As it relates to e-commerce sales, the Company accounts for shipping and handling as fulfillment activities, and not as a separate performance obligation. Accordingly, the Company recognizes revenue for only one performance obligation, the sale of the product, at the shipping point (when the customer gains control). Revenue associated with shipping and handling is not material. The costs associated with fulfillment are recorded in costs of goods sold.</w:t>
      </w:r>
    </w:p>
    <w:p>
      <w:pPr>
        <w:spacing w:after="0" w:line="17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offers promotional financing and credit cards issued by a third-party bank that manages and directly extends credit to the Company’s customers. The Company provides a license to its brand and marketing services, and the Company facilitates credit applications in its stores and online. The banks are the sole owners of the accounts receivable generated under the program and, accordingly, the Company does not hold any customer receivables related to these programs and acts as an agent in the financing transactions with customers. The Company is eligible to receive a profit share from certain of its banking partners based on the annual performance of their corresponding portfolio, and the Company receives monthly payments based on forecasts of full-year performance. This is a form of variable consideration. The Company records such profit share as revenue over time using the most likely amount method, which reflects the amount earned each month when it is determined that the likelihood of a significant revenue reversal is not probable, which is typically monthly. Profit-share payments occur monthly, shortly after the end of each program month.</w:t>
      </w:r>
    </w:p>
    <w:p>
      <w:pPr>
        <w:spacing w:after="0" w:line="189"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returns</w:t>
      </w:r>
    </w:p>
    <w:p>
      <w:pPr>
        <w:spacing w:after="0" w:line="13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The Company allows customers to return items purchased within 30 days provided the merchandise is in resaleable condition with original packaging and the original sales/gift receipt is presented. The Company estimates a reserve for sales returns and records the respective reserve amounts, including a right to return asset when a product is expected to be returned and resold. Historical experience of actual returns and customer return rights are the key factors used in determining the estimated sales returns.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32"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 following table provides information about right of return assets, contract liabilities, and sales return liabilities with customers as of November 2, 2024 and February 3, 2024:</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November 2, 2024</w:t>
            </w:r>
          </w:p>
        </w:tc>
        <w:tc>
          <w:tcPr>
            <w:tcW w:w="180" w:type="dxa"/>
            <w:vAlign w:val="bottom"/>
          </w:tcPr>
          <w:p>
            <w:pPr>
              <w:spacing w:after="0"/>
              <w:rPr>
                <w:sz w:val="15"/>
                <w:szCs w:val="15"/>
                <w:color w:val="auto"/>
              </w:rPr>
            </w:pPr>
          </w:p>
        </w:tc>
        <w:tc>
          <w:tcPr>
            <w:tcW w:w="14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February 3, 2024</w:t>
            </w: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return assets, which are included in prepaid expenses and other</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gift card contract liability, net of breakage</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(26,885 )</w:t>
            </w: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(30,541 )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Estimated loyalty contract liability, net of breakage</w:t>
            </w:r>
          </w:p>
        </w:tc>
        <w:tc>
          <w:tcPr>
            <w:tcW w:w="16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(3,287 )</w:t>
            </w: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(4,340 )</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return liabilities, which are included in accrued expenses</w:t>
            </w:r>
          </w:p>
        </w:tc>
        <w:tc>
          <w:tcPr>
            <w:tcW w:w="160" w:type="dxa"/>
            <w:vAlign w:val="bottom"/>
          </w:tcPr>
          <w:p>
            <w:pPr>
              <w:spacing w:after="0"/>
              <w:rPr>
                <w:sz w:val="20"/>
                <w:szCs w:val="20"/>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(3,464 )</w:t>
            </w:r>
          </w:p>
        </w:tc>
        <w:tc>
          <w:tcPr>
            <w:tcW w:w="18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(2,476 )</w:t>
            </w:r>
          </w:p>
        </w:tc>
      </w:tr>
    </w:tbl>
    <w:p>
      <w:pPr>
        <w:spacing w:after="0" w:line="179"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7"/>
          <w:szCs w:val="17"/>
          <w:color w:val="auto"/>
        </w:rPr>
        <w:t>During the 13 and 39 weeks ended November 2, 2024, the Company recognized approximately $329 and $1,099 in gift card breakage and approximately $1,263 and $3,086 in loyalty breakage, respectively. During the 13 and 39 weeks ended October 28, 2023, the Company recognized approximately $338 and $1,137 in gift card breakage and approximately $583 and $2,513 in loyalty breakage, respectively. During the 13 and 39 weeks ended November 2, 2024, the Company recognized revenue of $2,820 and $15,656, respectively, relating to contract liabilities that existed at February 3, 2024.</w:t>
      </w:r>
    </w:p>
    <w:p>
      <w:pPr>
        <w:spacing w:after="0" w:line="16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The current balance of the right of return assets is the expected amount of inventory to be returned that is expected to be resold. The current balance of the contract liabilities primarily relates to the gift card and loyalty reward program liabilities. The Company expects the revenue associated with these liabilities to be recognized in proportion to the pattern of customer redemptions over the next two years. The current balance of sales return liabilities is the expected amount of sales returns from sales that have occurred.</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 from contracts with customers</w:t>
      </w:r>
    </w:p>
    <w:p>
      <w:pPr>
        <w:spacing w:after="0" w:line="119"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8"/>
          <w:szCs w:val="18"/>
          <w:color w:val="auto"/>
        </w:rPr>
        <w:t>In the following table, revenue from contracts with customers is disaggregated by department. The percentage of net sales related to the Company’s departments during the 13 and 39 weeks ended November 2, 2024 and October 28, 2023, was approximately: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40" w:type="dxa"/>
            <w:vAlign w:val="bottom"/>
          </w:tcPr>
          <w:p>
            <w:pPr>
              <w:spacing w:after="0"/>
              <w:rPr>
                <w:sz w:val="10"/>
                <w:szCs w:val="10"/>
                <w:color w:val="auto"/>
              </w:rPr>
            </w:pPr>
          </w:p>
        </w:tc>
        <w:tc>
          <w:tcPr>
            <w:tcW w:w="3960" w:type="dxa"/>
            <w:vAlign w:val="bottom"/>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1400" w:type="dxa"/>
            <w:vAlign w:val="bottom"/>
            <w:tcBorders>
              <w:top w:val="single" w:sz="8" w:color="auto"/>
            </w:tcBorders>
            <w:gridSpan w:val="3"/>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140" w:type="dxa"/>
            <w:vAlign w:val="bottom"/>
            <w:tcBorders>
              <w:top w:val="single" w:sz="8" w:color="auto"/>
            </w:tcBorders>
          </w:tcPr>
          <w:p>
            <w:pPr>
              <w:jc w:val="right"/>
              <w:ind w:right="11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top w:val="single" w:sz="8" w:color="auto"/>
            </w:tcBorders>
            <w:gridSpan w:val="3"/>
          </w:tcPr>
          <w:p>
            <w:pPr>
              <w:jc w:val="center"/>
              <w:ind w:right="22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160" w:type="dxa"/>
            <w:vAlign w:val="bottom"/>
            <w:tcBorders>
              <w:top w:val="single" w:sz="8" w:color="auto"/>
            </w:tcBorders>
          </w:tcPr>
          <w:p>
            <w:pPr>
              <w:jc w:val="right"/>
              <w:ind w:right="13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64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39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16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6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40" w:type="dxa"/>
            <w:vAlign w:val="bottom"/>
          </w:tcPr>
          <w:p>
            <w:pPr>
              <w:spacing w:after="0"/>
              <w:rPr>
                <w:sz w:val="16"/>
                <w:szCs w:val="16"/>
                <w:color w:val="auto"/>
              </w:rPr>
            </w:pPr>
          </w:p>
        </w:tc>
        <w:tc>
          <w:tcPr>
            <w:tcW w:w="40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 kayaks,</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coolers, outdoor cooking equipment, sleeping bags,</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tents and tools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Apparel</w:t>
            </w:r>
          </w:p>
        </w:tc>
        <w:tc>
          <w:tcPr>
            <w:tcW w:w="140" w:type="dxa"/>
            <w:vAlign w:val="bottom"/>
          </w:tcPr>
          <w:p>
            <w:pPr>
              <w:spacing w:after="0"/>
              <w:rPr>
                <w:sz w:val="17"/>
                <w:szCs w:val="17"/>
                <w:color w:val="auto"/>
              </w:rPr>
            </w:pPr>
          </w:p>
        </w:tc>
        <w:tc>
          <w:tcPr>
            <w:tcW w:w="4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Camouflage, jackets, hats, outerwear, sportswear,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technical gear and work wear</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Fishing</w:t>
            </w:r>
          </w:p>
        </w:tc>
        <w:tc>
          <w:tcPr>
            <w:tcW w:w="140" w:type="dxa"/>
            <w:vAlign w:val="bottom"/>
          </w:tcPr>
          <w:p>
            <w:pPr>
              <w:spacing w:after="0"/>
              <w:rPr>
                <w:sz w:val="17"/>
                <w:szCs w:val="17"/>
                <w:color w:val="auto"/>
              </w:rPr>
            </w:pPr>
          </w:p>
        </w:tc>
        <w:tc>
          <w:tcPr>
            <w:tcW w:w="4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Bait, electronics, fishing rods, flotation items, fly</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fishing, lines, lures, reels, tackle and small boats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Footwear</w:t>
            </w:r>
          </w:p>
        </w:tc>
        <w:tc>
          <w:tcPr>
            <w:tcW w:w="140" w:type="dxa"/>
            <w:vAlign w:val="bottom"/>
          </w:tcPr>
          <w:p>
            <w:pPr>
              <w:spacing w:after="0"/>
              <w:rPr>
                <w:sz w:val="17"/>
                <w:szCs w:val="17"/>
                <w:color w:val="auto"/>
              </w:rPr>
            </w:pPr>
          </w:p>
        </w:tc>
        <w:tc>
          <w:tcPr>
            <w:tcW w:w="4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Hiking boots, socks, sport sandals, technical footwear,</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trail shoes, casual shoes, waders and work boots</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Hunting and Shooting</w:t>
            </w:r>
          </w:p>
        </w:tc>
        <w:tc>
          <w:tcPr>
            <w:tcW w:w="140" w:type="dxa"/>
            <w:vAlign w:val="bottom"/>
          </w:tcPr>
          <w:p>
            <w:pPr>
              <w:spacing w:after="0"/>
              <w:rPr>
                <w:sz w:val="17"/>
                <w:szCs w:val="17"/>
                <w:color w:val="auto"/>
              </w:rPr>
            </w:pPr>
          </w:p>
        </w:tc>
        <w:tc>
          <w:tcPr>
            <w:tcW w:w="4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Ammunition, archery items, ATV accessories, blinds</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tree stands, decoys, firearms, reloading equipment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shooting gear</w:t>
            </w: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57.9 %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56.2 %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197"/>
        </w:trPr>
        <w:tc>
          <w:tcPr>
            <w:tcW w:w="164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Optics, Electronics,</w:t>
            </w:r>
          </w:p>
        </w:tc>
        <w:tc>
          <w:tcPr>
            <w:tcW w:w="140" w:type="dxa"/>
            <w:vAlign w:val="bottom"/>
          </w:tcPr>
          <w:p>
            <w:pPr>
              <w:spacing w:after="0"/>
              <w:rPr>
                <w:sz w:val="17"/>
                <w:szCs w:val="17"/>
                <w:color w:val="auto"/>
              </w:rPr>
            </w:pPr>
          </w:p>
        </w:tc>
        <w:tc>
          <w:tcPr>
            <w:tcW w:w="408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Gift items, GPS devices, knives, lighting, optics, two-</w:t>
            </w: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Accessories, and</w:t>
            </w:r>
          </w:p>
        </w:tc>
        <w:tc>
          <w:tcPr>
            <w:tcW w:w="14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way radios, and other license revenue, net of revenue</w:t>
            </w:r>
          </w:p>
        </w:tc>
        <w:tc>
          <w:tcPr>
            <w:tcW w:w="14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136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13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1"/>
        </w:trPr>
        <w:tc>
          <w:tcPr>
            <w:tcW w:w="1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discounts</w:t>
            </w:r>
          </w:p>
        </w:tc>
        <w:tc>
          <w:tcPr>
            <w:tcW w:w="1400" w:type="dxa"/>
            <w:vAlign w:val="bottom"/>
            <w:gridSpan w:val="3"/>
            <w:vMerge w:val="continue"/>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-2216785</wp:posOffset>
            </wp:positionV>
            <wp:extent cx="7132320" cy="410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-1532255</wp:posOffset>
            </wp:positionV>
            <wp:extent cx="7132320" cy="2736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-984250</wp:posOffset>
            </wp:positionV>
            <wp:extent cx="7132320" cy="410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 as of November 2, 2024 and February 3,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60" w:type="dxa"/>
            <w:vAlign w:val="bottom"/>
          </w:tcPr>
          <w:p>
            <w:pPr>
              <w:spacing w:after="0"/>
              <w:rPr>
                <w:sz w:val="13"/>
                <w:szCs w:val="13"/>
                <w:color w:val="auto"/>
              </w:rPr>
            </w:pPr>
          </w:p>
        </w:tc>
        <w:tc>
          <w:tcPr>
            <w:tcW w:w="14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34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173,406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(230,959 )</w:t>
            </w: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(204,415 )</w:t>
            </w:r>
          </w:p>
        </w:tc>
        <w:tc>
          <w:tcPr>
            <w:tcW w:w="0" w:type="dxa"/>
            <w:vAlign w:val="bottom"/>
          </w:tcPr>
          <w:p>
            <w:pPr>
              <w:spacing w:after="0"/>
              <w:rPr>
                <w:sz w:val="1"/>
                <w:szCs w:val="1"/>
                <w:color w:val="auto"/>
              </w:rPr>
            </w:pPr>
          </w:p>
        </w:tc>
      </w:tr>
      <w:tr>
        <w:trPr>
          <w:trHeight w:val="209"/>
        </w:trPr>
        <w:tc>
          <w:tcPr>
            <w:tcW w:w="4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220" w:type="dxa"/>
            <w:vAlign w:val="bottom"/>
            <w:tcBorders>
              <w:top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175,181</w:t>
            </w: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194,452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322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5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-1497965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-1497965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-1215390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Accrued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November 2, 2024 and February 3,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overdraft</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16,031</w:t>
            </w:r>
          </w:p>
        </w:tc>
        <w:tc>
          <w:tcPr>
            <w:tcW w:w="5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38,044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13,051</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use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real estate tax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18,863</w:t>
            </w: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95,094</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83,665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-170815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Leases</w:t>
      </w:r>
    </w:p>
    <w:p>
      <w:pPr>
        <w:spacing w:after="0" w:line="12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At the inception of the lease, the Company’s operating leases have remaining certain lease terms of up to 15 years, which typically includes multiple options for the Company to extend the lease which are not reasonably certain.</w:t>
      </w:r>
    </w:p>
    <w:p>
      <w:pPr>
        <w:spacing w:after="0" w:line="16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contract inception. As the rate implicit in the lease is not readily determinable in most of the Company’s leases, the Company uses its incremental borrowing rate based on the information available at commencement date to determine the present value of lease payments. The Company’s incremental borrowing rate for a lease is the rate of interest it would have to pay on a collateralized basis to borrow an amount equal to the lease payments under similar terms. The operating lease asset also includes any fixed lease payments made and includes lease incentives and incurred initial direct costs. Operating lease expense for fixed lease payments is recognized on a straight-line basis over the lease term. The Company’s lease terms may include options to extend or terminate the lease. Additionally, the Company’s leases do not contain any material residual guarantees or material restrictive covenants.</w:t>
      </w:r>
    </w:p>
    <w:p>
      <w:pPr>
        <w:spacing w:after="0" w:line="187"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During the 13 and 39 weeks ended November 2, 2024, the Company recorded non-cash increases of $1,939 and $14,620, respectively, to the right of use assets and operating lease liabilities resulting from lease remeasurements from the exercise of lease extension options, acquired leases, and new leases added.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agreements do not contain any material residual value guarantees or material restrictive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total lease expense was comprised of the following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780" w:type="dxa"/>
            <w:vAlign w:val="bottom"/>
            <w:gridSpan w:val="6"/>
          </w:tcPr>
          <w:p>
            <w:pPr>
              <w:ind w:left="8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2780" w:type="dxa"/>
            <w:vAlign w:val="bottom"/>
          </w:tcPr>
          <w:p>
            <w:pPr>
              <w:spacing w:after="0"/>
              <w:rPr>
                <w:sz w:val="10"/>
                <w:szCs w:val="10"/>
                <w:color w:val="auto"/>
              </w:rPr>
            </w:pPr>
          </w:p>
        </w:tc>
        <w:tc>
          <w:tcPr>
            <w:tcW w:w="132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5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jc w:val="right"/>
              <w:ind w:right="496"/>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right"/>
              <w:ind w:right="439"/>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tcPr>
          <w:p>
            <w:pPr>
              <w:jc w:val="right"/>
              <w:ind w:right="47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2780" w:type="dxa"/>
            <w:vAlign w:val="bottom"/>
          </w:tcPr>
          <w:p>
            <w:pPr>
              <w:spacing w:after="0"/>
              <w:rPr>
                <w:sz w:val="15"/>
                <w:szCs w:val="15"/>
                <w:color w:val="auto"/>
              </w:rPr>
            </w:pPr>
          </w:p>
        </w:tc>
        <w:tc>
          <w:tcPr>
            <w:tcW w:w="132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216"/>
        </w:trPr>
        <w:tc>
          <w:tcPr>
            <w:tcW w:w="2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1320" w:type="dxa"/>
            <w:vAlign w:val="bottom"/>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17,226</w:t>
            </w:r>
          </w:p>
        </w:tc>
        <w:tc>
          <w:tcPr>
            <w:tcW w:w="88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6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51,385</w:t>
            </w:r>
          </w:p>
        </w:tc>
        <w:tc>
          <w:tcPr>
            <w:tcW w:w="6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48,165</w:t>
            </w:r>
          </w:p>
        </w:tc>
        <w:tc>
          <w:tcPr>
            <w:tcW w:w="100" w:type="dxa"/>
            <w:vAlign w:val="bottom"/>
            <w:shd w:val="clear" w:color="auto" w:fill="CFF0FC"/>
          </w:tcPr>
          <w:p>
            <w:pPr>
              <w:spacing w:after="0"/>
              <w:rPr>
                <w:sz w:val="18"/>
                <w:szCs w:val="18"/>
                <w:color w:val="auto"/>
              </w:rPr>
            </w:pPr>
          </w:p>
        </w:tc>
      </w:tr>
      <w:tr>
        <w:trPr>
          <w:trHeight w:val="216"/>
        </w:trPr>
        <w:tc>
          <w:tcPr>
            <w:tcW w:w="2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expense</w:t>
            </w:r>
          </w:p>
        </w:tc>
        <w:tc>
          <w:tcPr>
            <w:tcW w:w="1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00" w:type="dxa"/>
            <w:vAlign w:val="bottom"/>
          </w:tcPr>
          <w:p>
            <w:pPr>
              <w:spacing w:after="0"/>
              <w:rPr>
                <w:sz w:val="18"/>
                <w:szCs w:val="18"/>
                <w:color w:val="auto"/>
              </w:rPr>
            </w:pPr>
          </w:p>
        </w:tc>
      </w:tr>
      <w:tr>
        <w:trPr>
          <w:trHeight w:val="216"/>
        </w:trPr>
        <w:tc>
          <w:tcPr>
            <w:tcW w:w="2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132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1320" w:type="dxa"/>
            <w:vAlign w:val="bottom"/>
          </w:tcPr>
          <w:p>
            <w:pPr>
              <w:jc w:val="right"/>
              <w:ind w:right="114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8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22,307</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69,995</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65,861</w:t>
            </w:r>
          </w:p>
        </w:tc>
        <w:tc>
          <w:tcPr>
            <w:tcW w:w="100" w:type="dxa"/>
            <w:vAlign w:val="bottom"/>
          </w:tcPr>
          <w:p>
            <w:pPr>
              <w:spacing w:after="0"/>
              <w:rPr>
                <w:sz w:val="18"/>
                <w:szCs w:val="18"/>
                <w:color w:val="auto"/>
              </w:rPr>
            </w:pPr>
          </w:p>
        </w:tc>
      </w:tr>
      <w:tr>
        <w:trPr>
          <w:trHeight w:val="20"/>
        </w:trPr>
        <w:tc>
          <w:tcPr>
            <w:tcW w:w="27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3"/>
        </w:trPr>
        <w:tc>
          <w:tcPr>
            <w:tcW w:w="2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right"/>
              <w:ind w:right="1036"/>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27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-1215390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-1215390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5707380</wp:posOffset>
            </wp:positionH>
            <wp:positionV relativeFrom="paragraph">
              <wp:posOffset>-1215390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-1215390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ASC 842, other information related to leases was as follows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8"/>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77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640" w:type="dxa"/>
            <w:vAlign w:val="bottom"/>
            <w:tcBorders>
              <w:top w:val="single" w:sz="8" w:color="auto"/>
            </w:tcBorders>
            <w:gridSpan w:val="4"/>
          </w:tcPr>
          <w:p>
            <w:pPr>
              <w:jc w:val="center"/>
              <w:ind w:right="50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tcPr>
          <w:p>
            <w:pPr>
              <w:jc w:val="center"/>
              <w:ind w:right="9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55,885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51,849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9"/>
        </w:trPr>
        <w:tc>
          <w:tcPr>
            <w:tcW w:w="7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4"/>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As of November 2,</w:t>
            </w:r>
          </w:p>
        </w:tc>
        <w:tc>
          <w:tcPr>
            <w:tcW w:w="180" w:type="dxa"/>
            <w:vAlign w:val="bottom"/>
          </w:tcPr>
          <w:p>
            <w:pPr>
              <w:spacing w:after="0"/>
              <w:rPr>
                <w:sz w:val="24"/>
                <w:szCs w:val="24"/>
                <w:color w:val="auto"/>
              </w:rPr>
            </w:pPr>
          </w:p>
        </w:tc>
        <w:tc>
          <w:tcPr>
            <w:tcW w:w="15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 October 28,</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or remeasured operating lease liabilities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14,620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52,314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 right-of-use assets and 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00" w:type="dxa"/>
            <w:vAlign w:val="bottom"/>
            <w:shd w:val="clear" w:color="auto" w:fill="CFF0FC"/>
          </w:tcPr>
          <w:p>
            <w:pPr>
              <w:spacing w:after="0"/>
              <w:rPr>
                <w:sz w:val="18"/>
                <w:szCs w:val="18"/>
                <w:color w:val="auto"/>
              </w:rPr>
            </w:pPr>
          </w:p>
        </w:tc>
        <w:tc>
          <w:tcPr>
            <w:tcW w:w="13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00" w:type="dxa"/>
            <w:vAlign w:val="bottom"/>
          </w:tcPr>
          <w:p>
            <w:pPr>
              <w:spacing w:after="0"/>
              <w:rPr>
                <w:sz w:val="20"/>
                <w:szCs w:val="20"/>
                <w:color w:val="auto"/>
              </w:rPr>
            </w:pPr>
          </w:p>
        </w:tc>
        <w:tc>
          <w:tcPr>
            <w:tcW w:w="16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7.61 %</w:t>
            </w:r>
          </w:p>
        </w:tc>
        <w:tc>
          <w:tcPr>
            <w:tcW w:w="180" w:type="dxa"/>
            <w:vAlign w:val="bottom"/>
          </w:tcPr>
          <w:p>
            <w:pPr>
              <w:spacing w:after="0"/>
              <w:rPr>
                <w:sz w:val="20"/>
                <w:szCs w:val="20"/>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7.76 %</w:t>
            </w:r>
          </w:p>
        </w:tc>
        <w:tc>
          <w:tcPr>
            <w:tcW w:w="0" w:type="dxa"/>
            <w:vAlign w:val="bottom"/>
          </w:tcPr>
          <w:p>
            <w:pPr>
              <w:spacing w:after="0"/>
              <w:rPr>
                <w:sz w:val="1"/>
                <w:szCs w:val="1"/>
                <w:color w:val="auto"/>
              </w:rPr>
            </w:pPr>
          </w:p>
        </w:tc>
      </w:tr>
      <w:tr>
        <w:trPr>
          <w:trHeight w:val="454"/>
        </w:trPr>
        <w:tc>
          <w:tcPr>
            <w:tcW w:w="79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In accordance with ASC 842, maturities of operating lease liabilities as of November 2, 2024 were as follows: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73"/>
        </w:trPr>
        <w:tc>
          <w:tcPr>
            <w:tcW w:w="77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0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18,699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70,380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57,501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Undiscounted cash flows</w:t>
            </w:r>
          </w:p>
        </w:tc>
        <w:tc>
          <w:tcPr>
            <w:tcW w:w="20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471,287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Reconciliation of lease liabilities:</w:t>
            </w: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Present values</w:t>
            </w:r>
          </w:p>
        </w:tc>
        <w:tc>
          <w:tcPr>
            <w:tcW w:w="200" w:type="dxa"/>
            <w:vAlign w:val="bottom"/>
            <w:shd w:val="clear" w:color="auto" w:fill="CFF0FC"/>
          </w:tcPr>
          <w:p>
            <w:pPr>
              <w:spacing w:after="0"/>
              <w:rPr>
                <w:sz w:val="18"/>
                <w:szCs w:val="18"/>
                <w:color w:val="auto"/>
              </w:rPr>
            </w:pPr>
          </w:p>
        </w:tc>
        <w:tc>
          <w:tcPr>
            <w:tcW w:w="1640" w:type="dxa"/>
            <w:vAlign w:val="bottom"/>
            <w:gridSpan w:val="4"/>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362,320</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 - current</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 - noncurrent</w:t>
            </w:r>
          </w:p>
        </w:tc>
        <w:tc>
          <w:tcPr>
            <w:tcW w:w="20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313,454</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 total</w:t>
            </w:r>
          </w:p>
        </w:tc>
        <w:tc>
          <w:tcPr>
            <w:tcW w:w="200" w:type="dxa"/>
            <w:vAlign w:val="bottom"/>
          </w:tcPr>
          <w:p>
            <w:pPr>
              <w:spacing w:after="0"/>
              <w:rPr>
                <w:sz w:val="18"/>
                <w:szCs w:val="18"/>
                <w:color w:val="auto"/>
              </w:rPr>
            </w:pPr>
          </w:p>
        </w:tc>
        <w:tc>
          <w:tcPr>
            <w:tcW w:w="164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362,320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ind w:left="200"/>
              <w:spacing w:after="0" w:line="196" w:lineRule="exact"/>
              <w:rPr>
                <w:sz w:val="20"/>
                <w:szCs w:val="20"/>
                <w:color w:val="auto"/>
              </w:rPr>
            </w:pPr>
            <w:r>
              <w:rPr>
                <w:rFonts w:ascii="Times New Roman" w:cs="Times New Roman" w:eastAsia="Times New Roman" w:hAnsi="Times New Roman"/>
                <w:sz w:val="18"/>
                <w:szCs w:val="18"/>
                <w:color w:val="auto"/>
              </w:rPr>
              <w:t>Difference between undiscounted and discounted cash flows</w:t>
            </w:r>
          </w:p>
        </w:tc>
        <w:tc>
          <w:tcPr>
            <w:tcW w:w="200" w:type="dxa"/>
            <w:vAlign w:val="bottom"/>
            <w:shd w:val="clear" w:color="auto" w:fill="CFF0FC"/>
          </w:tcPr>
          <w:p>
            <w:pPr>
              <w:spacing w:after="0"/>
              <w:rPr>
                <w:sz w:val="17"/>
                <w:szCs w:val="17"/>
                <w:color w:val="auto"/>
              </w:rPr>
            </w:pPr>
          </w:p>
        </w:tc>
        <w:tc>
          <w:tcPr>
            <w:tcW w:w="1640" w:type="dxa"/>
            <w:vAlign w:val="bottom"/>
            <w:gridSpan w:val="4"/>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108,967</w:t>
            </w: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-864235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excluded in the table above approximately $7.9 million for a lease (undiscounted basis) that was entered into as of December 6,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 will commence in 2025 with a lease term of 12 years</w:t>
      </w:r>
      <w:r>
        <w:rPr>
          <w:rFonts w:ascii="Times New Roman" w:cs="Times New Roman" w:eastAsia="Times New Roman" w:hAnsi="Times New Roman"/>
          <w:sz w:val="16"/>
          <w:szCs w:val="16"/>
          <w:color w:val="auto"/>
        </w:rPr>
        <w:t>.</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as of November 2, 2024 and February 3,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3"/>
                <w:szCs w:val="13"/>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February 3,</w:t>
            </w:r>
          </w:p>
        </w:tc>
      </w:tr>
      <w:tr>
        <w:trPr>
          <w:trHeight w:val="173"/>
        </w:trPr>
        <w:tc>
          <w:tcPr>
            <w:tcW w:w="76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60" w:type="dxa"/>
            <w:vAlign w:val="bottom"/>
          </w:tcPr>
          <w:p>
            <w:pPr>
              <w:spacing w:after="0"/>
              <w:rPr>
                <w:sz w:val="18"/>
                <w:szCs w:val="18"/>
                <w:color w:val="auto"/>
              </w:rPr>
            </w:pPr>
          </w:p>
        </w:tc>
        <w:tc>
          <w:tcPr>
            <w:tcW w:w="18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(1,031 )</w:t>
            </w:r>
          </w:p>
        </w:tc>
        <w:tc>
          <w:tcPr>
            <w:tcW w:w="220" w:type="dxa"/>
            <w:vAlign w:val="bottom"/>
          </w:tcPr>
          <w:p>
            <w:pPr>
              <w:spacing w:after="0"/>
              <w:rPr>
                <w:sz w:val="18"/>
                <w:szCs w:val="18"/>
                <w:color w:val="auto"/>
              </w:rPr>
            </w:pP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4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discount</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49"/>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23,969</w:t>
            </w:r>
          </w:p>
        </w:tc>
        <w:tc>
          <w:tcPr>
            <w:tcW w:w="4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 Loan</w:t>
      </w:r>
    </w:p>
    <w:p>
      <w:pPr>
        <w:spacing w:after="0" w:line="229"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On July 30, 2024, Sportsman’s Warehouse, Inc. (“SWI”) a wholly owned subsidiary of Holdings, as lead borrower, Holdings, as guarantor, and other subsidiaries of Holdings, each as borrowers, and PLC Agent LLC (the “Pathlight Agent”), as administrative and collateral agent for various lenders affiliated with Pathlight Capital (the “ABL Lenders”), entered into an ABL Term Loan Credit Agreement (the “Term Loan”). The Term Loan provides for a senior secured term loan credit facility in an aggregate principal amount of $45,000, consisting of $25,000 in initial</w:t>
      </w:r>
    </w:p>
    <w:p>
      <w:pPr>
        <w:sectPr>
          <w:pgSz w:w="11900" w:h="16838" w:orient="portrait"/>
          <w:cols w:equalWidth="0" w:num="1">
            <w:col w:w="11300"/>
          </w:cols>
          <w:pgMar w:left="320" w:top="768" w:right="279" w:bottom="1440" w:gutter="0" w:footer="0" w:header="0"/>
        </w:sectPr>
      </w:pPr>
    </w:p>
    <w:p>
      <w:pPr>
        <w:spacing w:after="0" w:line="3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ABL term loans that were made by the ABL Lenders on July 30, 2024 and $20,000 in delayed draw ABL term loans. The $25,000 in proceeds from the initial ABL term loans were used to repay obligations under the Revolving Line of Credit described in Note 8.</w:t>
      </w:r>
    </w:p>
    <w:p>
      <w:pPr>
        <w:spacing w:after="0" w:line="16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incurred deferred financing costs and discounts related to the Term Loan of approximately $1,136. These costs offset the recorded carrying amount of the Term Loan on the condensed consolidated balance sheet and are amortized to interest expense over the life of the Term Loan. As of November 2, 2024 and February 3, 2024, the Company had $25,000 and $0, respectively, in outstanding loans under the Term Loan. As of November 2, 2024, the Company had $18,000 available for borrowing under the Term Loan, calculated based upon certain borrowing base restrictions.</w:t>
      </w:r>
    </w:p>
    <w:p>
      <w:pPr>
        <w:spacing w:after="0" w:line="18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availability of loans under the Term Loan is subject to a borrowing base calculation based on eligible credit card receivables, eligible inventory, the revolving borrowing base determined under the Revolving Line of Credit, and reserves. The Term Loan has a stated maturity date of the earlier of July 30, 2029 or the maturity date of the Revolving Line of Credit (described below). Borrowings under the Term Loan bear interest at a rate equal to the greater of a floor rate of 3.0% or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 The interest rate on the amounts outstanding under the Term Loan as of November 2, 2024 was 10.74%.</w:t>
      </w:r>
    </w:p>
    <w:p>
      <w:pPr>
        <w:spacing w:after="0" w:line="18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Subject to specified exceptions, SWI and the other borrowers may be required to make mandatory prepayments under the Term Loan in the event of certain dispositions of certain property or assets, in the event of receipt of certain tax refunds,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8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 addition, the Term Loan contains customary affirmative and negative covenants, including covenants that limit the ability of the Company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Term Loan also requires the Company to maintain a minimum availability at all times of not less than the greater of $30,000 and 10% of the gross borrowing base and contains customary events of default, including defaults triggered by defaults under the Revolving Line of Credit.</w:t>
      </w:r>
    </w:p>
    <w:p>
      <w:pPr>
        <w:spacing w:after="0" w:line="18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Term Loan, and all obligations under the Term Loan are guaranteed by Holdings. All of the obligations under the Term Loan are secured by a lien on substantially all of Holdings’ assets and the assets of all of Holdings’ subsidiaries, including a pledge of all capital stock of each of Holdings’ subsidiaries. The lien securing the obligations under the Term Loan is a first priority lien as to equipment, fixtures, intellectual property and equity interests.</w:t>
      </w:r>
    </w:p>
    <w:p>
      <w:pPr>
        <w:spacing w:after="0" w:line="18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As of November 2, 2024 and February 3, 2024, the Company had $1,031 and $0, respectively, in outstanding deferred financing fees and discounts related to the Term Loan. During the 13 and 39 weeks ended November 2, 2024, the Company recognized $72 and $76, respectively, of non-cash interest expense with regard to the amortization of deferred financing fees and discounts. During the 13 and 39 weeks ended October 28, 2023, the Company did not recognize any non-cash interest expense related to a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8"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minimum payments on outstanding long-term debt were as follows as of November 2, 2024:</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w:t>
            </w:r>
          </w:p>
        </w:tc>
        <w:tc>
          <w:tcPr>
            <w:tcW w:w="2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jc w:val="right"/>
              <w:ind w:right="952"/>
              <w:spacing w:after="0"/>
              <w:rPr>
                <w:sz w:val="20"/>
                <w:szCs w:val="20"/>
                <w:color w:val="auto"/>
              </w:rPr>
            </w:pPr>
            <w:r>
              <w:rPr>
                <w:rFonts w:ascii="Times New Roman" w:cs="Times New Roman" w:eastAsia="Times New Roman" w:hAnsi="Times New Roman"/>
                <w:sz w:val="14"/>
                <w:szCs w:val="14"/>
                <w:b w:val="1"/>
                <w:bCs w:val="1"/>
                <w:color w:val="auto"/>
              </w:rPr>
              <w:t>Minimum Payments</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8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49"/>
        </w:trPr>
        <w:tc>
          <w:tcPr>
            <w:tcW w:w="7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Revolving Line of Credit</w:t>
      </w:r>
    </w:p>
    <w:p>
      <w:pPr>
        <w:spacing w:after="0" w:line="121"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SWI, as lead borrower, Holdings, and other subsidiaries of Holdings, each as borrowers, and Wells Fargo Bank, National Association (“Wells Fargo”), as administrative agent, collateral agent, swing line lender, letter of credit issuer and lender, with a consortium of banks led by Wells Fargo, entered into a Second Amendment to Amended and Restated Credit Agreement (the “Second Amendment”). Through the Second Amendment, the parties agreed to amend the Amended and Restated Credit Agreement, dated as of May 23, 2018, as previously amended May 17, 2022 by and among SWI, as lead borrower, and Wells Fargo, as agent and a lender, and the other parties listed on the signature pages thereto (as amended, including by the Second Amendment, the “Revolving Line of Credit”).</w:t>
      </w:r>
    </w:p>
    <w:p>
      <w:pPr>
        <w:spacing w:after="0" w:line="186"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The Company did not incur any additional fees related to the Revolving Line of Credit and will continue to amortize the prior recorded fees of $508 paid to various parties which were capitalized in association with the May 17, 2022 amendment. Fees associated with the Revolving Line of Credit were recorded in prepaid expenses and other assets.</w:t>
      </w:r>
    </w:p>
    <w:p>
      <w:pPr>
        <w:spacing w:after="0" w:line="17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As of November 2, 2024 and February 3, 2024, the Company had $145,684 and $135,272, respectively, in outstanding revolving loans under the Revolving Line of Credit. Amounts outstanding are offset on the condensed consolidated balance sheets by amounts in depository accounts under lock-box type arrangements, which were $15,642 and $9,230 as of November 2, 2024 and February 3, 2024, respectively. As of November 2, 2024, the Company had $130,064 available for borrowing under the Revolving Line of Credit, calculated based upon certain borrowing base restrictions and stand-by commercial letters of credit of $2,000 under the terms of the Revolving Line of Credit.</w:t>
      </w:r>
    </w:p>
    <w:p>
      <w:pPr>
        <w:spacing w:after="0" w:line="18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Borrowings under the Revolving Line of Credit bear interest based on either the base rate or Term SOFR (as defined in the Revolving Line of Credit), at the Company’s option, in each case plus an applicable margin. The base rate is the greatest of (1) the floor rate (as defined in the Revolving Line of Credit as a rate of interest equal to 0.0%) (2) Wells Fargo’s prime rate, (3) the federal funds rate (as defined in the Revolving Line of Credit) plus 0.50% or (4) the one-month Term SOFR (as defined in the Revolving Line of Credit) plus 1.00%. The applicable margin for loans under the Revolving Line of Credit, which varies based on the average daily availability, ranges from 0.25% to 0.50% per year for base rate loans and from 1.35% to 1.60% per year for Term SOFR loans. The Company is required to pay a commitment fee for the unused portion of the Revolving Line of Credit, which will range from 0.20% to 0.225% per annum, depending on the average daily availability under the Revolving Line of Credit. The interest rate on the amounts outstanding under the Revolving Line of Credit as of November 2, 2024 and February 3, 2024 was 6.38% and 7.01%, respectively.</w:t>
      </w:r>
    </w:p>
    <w:p>
      <w:pPr>
        <w:spacing w:after="0" w:line="189"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The Company may be required to make mandatory prepayments under the Revolving Line of Credit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ind w:right="120"/>
        <w:spacing w:after="0" w:line="288" w:lineRule="auto"/>
        <w:rPr>
          <w:sz w:val="20"/>
          <w:szCs w:val="20"/>
          <w:color w:val="auto"/>
        </w:rPr>
      </w:pPr>
      <w:r>
        <w:rPr>
          <w:rFonts w:ascii="Times New Roman" w:cs="Times New Roman" w:eastAsia="Times New Roman" w:hAnsi="Times New Roman"/>
          <w:sz w:val="17"/>
          <w:szCs w:val="17"/>
          <w:color w:val="auto"/>
        </w:rPr>
        <w:t>The Revolving Line of Credit contains customary affirmative and negative covenants, including covenants that limit the Company’s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Line of Credit also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requires the Company to maintain a minimum availability at all times of not less than 10% of the gross borrowing base and contains customary events of default, including defaults triggered by defaults under the Term Loan. The Revolving Line of Credit matures on May 27, 2027.</w:t>
      </w:r>
    </w:p>
    <w:p>
      <w:pPr>
        <w:spacing w:after="0" w:line="163"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Line of Credit, and all obligations under the Revolving Line of Credit are guaranteed by Holdings. All of the obligations under the Revolving Line of Credit are secured by a lien on substantially all of Holdings’ assets and the assets of all of Holdings’ subsidiaries, including a pledge of all capital stock of each of Holdings’ subsidiaries. The lien securing the obligations under the Revolving Line of Credit is a first priority lien as to certain liquid assets, including cash, accounts receivable, deposit accounts and inventory.</w:t>
      </w:r>
    </w:p>
    <w:p>
      <w:pPr>
        <w:spacing w:after="0" w:line="18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As of November 2, 2024 and February 3, 2024, the Company had $390 and $503, respectively, in outstanding deferred financing fees. During the 13 and 39 weeks ended November 2, 2024, the Company recognized $38 and $113, respectively, of non-cash interest expense with regard to the amortization of deferred financing fees. During the 13 and 39 weeks ended October 28, 2023, the Company recognized $38 and $114, respectively, of non-cash interest expense with regard to the amortization of deferred financing fees.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2, 2024, gross borrowings under the Revolving Line of Credit were $355,522 and $970,999,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October 28, 2023, gross borrowings under the Revolving Line of Credit were $358,266 and $1,104,501,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November 2, 2024, gross paydowns under the Revolving Line of Credit were $357,050 and $969,226,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13 and 39 weeks ended October 28, 2023, gross paydowns under the Revolving Line of Credit were $377,561 and $1,008,743, respectively.</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Net Assets</w:t>
      </w:r>
    </w:p>
    <w:p>
      <w:pPr>
        <w:spacing w:after="0" w:line="121"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The provisions of the Term Loan and the Revolving Line of Credit restrict all of the net assets of the Company’s consolidated subsidiaries, which constitute all of the net assets on the Company’s condensed consolidated balance sheet as of November 2, 2024, from being used to pay any dividends without prior written consent from the financial institutions party to the respective agreement.</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During the 13 and 39 weeks ended November 2, 2024, the Company recognized income tax expense of $162 and income tax benefit of $7,364, respectively. During the 13 and 39 weeks ended October 28, 2023, the Company recognized income tax expense of $459 and income tax benefit of $6,664, respectively. The Company's effective tax rate during the 13 and 39 weeks ended November 2, 2024 was -80.2% and 23.2%, respectively. The Company's effective tax rate during the 13 and 39 weeks ended October 28, 2023 was -52.6% and 24.8%, respectively. The Company’s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Basic earnings per share is calculated by dividing net income by the weighted-average number of shares of common stock outstanding during the period. Diluted earnings per share represents basic earnings per share adjusted to include the potentially dilutive effect of nonvested share awards and nonvested share unit awards.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5"/>
                <w:szCs w:val="15"/>
                <w:color w:val="auto"/>
              </w:rPr>
            </w:pPr>
          </w:p>
        </w:tc>
        <w:tc>
          <w:tcPr>
            <w:tcW w:w="26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54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gridSpan w:val="3"/>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3"/>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8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7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(364 )</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(1,331 )</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(24,336 )</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(20,258 )</w:t>
            </w:r>
          </w:p>
        </w:tc>
        <w:tc>
          <w:tcPr>
            <w:tcW w:w="0" w:type="dxa"/>
            <w:vAlign w:val="bottom"/>
          </w:tcPr>
          <w:p>
            <w:pPr>
              <w:spacing w:after="0"/>
              <w:rPr>
                <w:sz w:val="1"/>
                <w:szCs w:val="1"/>
                <w:color w:val="auto"/>
              </w:rPr>
            </w:pPr>
          </w:p>
        </w:tc>
      </w:tr>
      <w:tr>
        <w:trPr>
          <w:trHeight w:val="196"/>
        </w:trPr>
        <w:tc>
          <w:tcPr>
            <w:tcW w:w="540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Dilutive effect of common stock equivalents</w:t>
            </w:r>
          </w:p>
        </w:tc>
        <w:tc>
          <w:tcPr>
            <w:tcW w:w="180" w:type="dxa"/>
            <w:vAlign w:val="bottom"/>
          </w:tcPr>
          <w:p>
            <w:pPr>
              <w:spacing w:after="0"/>
              <w:rPr>
                <w:sz w:val="18"/>
                <w:szCs w:val="18"/>
                <w:color w:val="auto"/>
              </w:rPr>
            </w:pPr>
          </w:p>
        </w:tc>
        <w:tc>
          <w:tcPr>
            <w:tcW w:w="13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37,869</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37,393</w:t>
            </w:r>
          </w:p>
        </w:tc>
        <w:tc>
          <w:tcPr>
            <w:tcW w:w="1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37,729</w:t>
            </w: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4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loss per share</w:t>
            </w: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140" w:type="dxa"/>
            <w:vAlign w:val="bottom"/>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14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(0.65 )</w:t>
            </w:r>
          </w:p>
        </w:tc>
        <w:tc>
          <w:tcPr>
            <w:tcW w:w="1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(0.54 )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4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loss per share</w:t>
            </w: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(0.01 )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(0.04 )</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(0.65 )</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(0.54 )</w:t>
            </w:r>
          </w:p>
        </w:tc>
        <w:tc>
          <w:tcPr>
            <w:tcW w:w="0" w:type="dxa"/>
            <w:vAlign w:val="bottom"/>
          </w:tcPr>
          <w:p>
            <w:pPr>
              <w:spacing w:after="0"/>
              <w:rPr>
                <w:sz w:val="1"/>
                <w:szCs w:val="1"/>
                <w:color w:val="auto"/>
              </w:rPr>
            </w:pPr>
          </w:p>
        </w:tc>
      </w:tr>
      <w:tr>
        <w:trPr>
          <w:trHeight w:val="178"/>
        </w:trPr>
        <w:tc>
          <w:tcPr>
            <w:tcW w:w="540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Restricted stock units considered anti-dilutive and excluded in the</w:t>
            </w: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40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calculation</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4226560</wp:posOffset>
            </wp:positionH>
            <wp:positionV relativeFrom="paragraph">
              <wp:posOffset>-1206500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-1189355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-1206500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-1189355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-1206500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-1189355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-1206500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-624205</wp:posOffset>
            </wp:positionV>
            <wp:extent cx="7683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-607060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-624205</wp:posOffset>
            </wp:positionV>
            <wp:extent cx="7683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-607060</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-624205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-607060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-624205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-607060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-299085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4226560</wp:posOffset>
            </wp:positionH>
            <wp:positionV relativeFrom="paragraph">
              <wp:posOffset>-281940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-299085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-281940</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-299085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-281940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8800" w:firstLine="8"/>
        <w:spacing w:after="0" w:line="377" w:lineRule="auto"/>
        <w:tabs>
          <w:tab w:leader="none" w:pos="33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Stock-Based Compensation</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During the 13 and 39 weeks ended November 2, 2024, the Company recognized total stock-based compensation expense of $1,047 and $3,438, respectively. During the 13 and 39 weeks ended October 28, 2023, the Company recognized total stock-based compensation expense of $965 and $3,341, respectively. Compensation expense related to the Company’s stock-based payment awards is recognized in selling, general, and administrative expenses in the condensed consolidated statements of operations.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Plans</w:t>
      </w:r>
    </w:p>
    <w:p>
      <w:pPr>
        <w:spacing w:after="0" w:line="121"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As of November 2, 2024, the number of shares available for awards under the Amended and Restated 2019 Performance Incentive Plan (as amended and restated, the “Amended 2019 Plan”) was 1,740. As of November 2, 2024, there were 2,614 unvested stock awards outstanding under the 2019 Plan.</w:t>
      </w:r>
    </w:p>
    <w:p>
      <w:pPr>
        <w:spacing w:after="0" w:line="5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Upon effectiveness of the Amended 2019 Plan on May 30, 2024, the date of the Company's 2024 Annual Meeting, the Company's authority to grant new awards under the Inducement Plan terminated, and a total of 545,293 shares of Common Stock that had been available for new award grants under the Inducement Plan immediately prior to the 2024 Annual Meeting became available for award grants under the Amended 2019 Plan. As provided in the Amended 2019 Plan, any shares of the Company's common stock subject to awards (other than stock options and stock appreciation rights) granted under the Inducement Plan that were outstanding and unvested immediately prior to the 2024 Annual Meeting that are forfeited, terminated, cancelled or otherwise reacquired by the Company without having become vested plus any shares that are withheld or reacquired by the Company to satisfy the tax withholding obligations related to any awards (other than stock options and stock appreciation rights) granted under the Inducement Plan that were outstanding immediately prior to the 2024 Annual Meeting will be available for award grant purposes under the Amended 2019 Plan. As of the date of the 2024 Annual Meeting, a total of 454,707 shares were subject to awards then outstanding under the Inducement Plan.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jc w:val="both"/>
        <w:ind w:right="120"/>
        <w:spacing w:after="0" w:line="265" w:lineRule="auto"/>
        <w:rPr>
          <w:sz w:val="20"/>
          <w:szCs w:val="20"/>
          <w:color w:val="auto"/>
        </w:rPr>
      </w:pPr>
      <w:r>
        <w:rPr>
          <w:rFonts w:ascii="Times New Roman" w:cs="Times New Roman" w:eastAsia="Times New Roman" w:hAnsi="Times New Roman"/>
          <w:sz w:val="18"/>
          <w:szCs w:val="18"/>
          <w:color w:val="auto"/>
        </w:rPr>
        <w:t>The Company also maintains an Amended and Rested Employee Stock Purchase Plan (the “ESPP”) that was approved by the Company’s stockholders in fiscal year 2015, under which 1,600 shares of common stock were authorized. During the 13 weeks ended November 2, 2024, no shares were issued under the ESPP and, as of November 2, 2024, the number of shares available for issuance was 827.</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Performance-Based Stock Awards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13 weeks ended November 2, 2024, the Company did not issue any nonvested performance-based stock awards to employees. During the 39 weeks ended November 2, 2024, the Company issued 874 nonvested performance-based stock awards to employees at a weighted average grant date fair value of $3.09 per share. The nonvested performance-based stock awards issued to employees vest in full on the third anniversary of the grant date. The number of shares issued is contingent on management achieving a fiscal year 2024 performance target for earnings before interest, taxes, depreciation and amortization expenses. If a minimum threshold performance target is not achieved, no shares will vest. The maximum number of shares subject to the award is 874. Following the end of the performance period for fiscal year 2024, the number of shares eligible to vest, based on actual performance, will be fixed and vesting will then be subject to each employee’s continued employment over the remaining service period.</w:t>
      </w:r>
    </w:p>
    <w:p>
      <w:pPr>
        <w:spacing w:after="0" w:line="187"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18"/>
          <w:szCs w:val="18"/>
          <w:color w:val="auto"/>
        </w:rPr>
        <w:t>During the 13 weeks ended October 28, 2023, the Company did not issue any nonvested performance-based stock awards to employees. During the 39 weeks ended October 28, 2023, the Company issued 36 nonvested performance-based stock awards to employees at a weighted average grant date fair value of $8.40 per share. The nonvested performance-based stock awards issued to employees vest in full on the third anniversary of the grant date. The number of shares issued is contingent on management achieving fiscal year 2023, 2024, and 2025 performance targets for total return on invested capital and total operating income percentage. If minimum threshold performance targets are not achieved, no shares will vest. The maximum number of shares subject to the award is 72, and the “target” number of shares subject to the award is 36 as reported below. Following the end of the performance period (fiscal years 2023, 2024, and 2025), the number of shares eligible to vest, based on actual performance, will be fixed and vesting will then be subject to each employee’s continued employment over the remaining service period.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performance-based stock awards (per share amounts are not in thousands):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3460" w:type="dxa"/>
            <w:vAlign w:val="bottom"/>
            <w:gridSpan w:val="3"/>
            <w:vMerge w:val="restart"/>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3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(121 )</w:t>
            </w: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46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3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7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(64 )</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(221 )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29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-1266825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-1249680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Nonvested Stock Unit Awards</w:t>
      </w:r>
    </w:p>
    <w:p>
      <w:pPr>
        <w:spacing w:after="0" w:line="121"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During the 13 weeks ended November 2, 2024, the Company did not issue any nonvested stock units to employees or directors. During the 39 weeks ended November 2, 2024, the Company issued 1,354 nonvested stock units to employees and directors at a weighted average grant date fair value of $3.12 per share.</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During the 13 and 39 weeks ended October 28, 2023, the Company issued 79 and 754 nonvested stock units to employees and directors at a weighted average grant date fair value of $3.96 and $7.25 per share, respectively. The shares issued to employees of the Company vest over a three-year period with one third of the shares vesting on each anniversary of the grant date. The shares issued to directors of the Company vest over a 12-month period with one-twelfth of the shares vesting each month.</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rollforward of outstanding nonvested stock units (per share amounts are not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3460" w:type="dxa"/>
            <w:vAlign w:val="bottom"/>
            <w:gridSpan w:val="3"/>
            <w:vMerge w:val="restart"/>
          </w:tcPr>
          <w:p>
            <w:pPr>
              <w:jc w:val="right"/>
              <w:ind w:right="17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February 3, 2024</w:t>
            </w:r>
          </w:p>
        </w:tc>
        <w:tc>
          <w:tcPr>
            <w:tcW w:w="30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440" w:type="dxa"/>
            <w:vAlign w:val="bottom"/>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3460" w:type="dxa"/>
            <w:vAlign w:val="bottom"/>
            <w:gridSpan w:val="3"/>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(147 )</w:t>
            </w: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4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(434 )</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November 2, 2024</w:t>
            </w:r>
          </w:p>
        </w:tc>
        <w:tc>
          <w:tcPr>
            <w:tcW w:w="30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4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320"/>
        </w:trPr>
        <w:tc>
          <w:tcPr>
            <w:tcW w:w="47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vMerge w:val="restart"/>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4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73"/>
        </w:trPr>
        <w:tc>
          <w:tcPr>
            <w:tcW w:w="47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January 28, 2023</w:t>
            </w:r>
          </w:p>
        </w:tc>
        <w:tc>
          <w:tcPr>
            <w:tcW w:w="2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7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9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(314 )</w:t>
            </w: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(324 )</w:t>
            </w: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28, 2023</w:t>
            </w:r>
          </w:p>
        </w:tc>
        <w:tc>
          <w:tcPr>
            <w:tcW w:w="29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top w:val="single" w:sz="8" w:color="auto"/>
              <w:bottom w:val="single" w:sz="8" w:color="auto"/>
            </w:tcBorders>
            <w:shd w:val="clear" w:color="auto" w:fill="CFF0FC"/>
          </w:tcPr>
          <w:p>
            <w:pPr>
              <w:spacing w:after="0"/>
              <w:rPr>
                <w:sz w:val="21"/>
                <w:szCs w:val="21"/>
                <w:color w:val="auto"/>
              </w:rPr>
            </w:pP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spacing w:after="0"/>
              <w:rPr>
                <w:sz w:val="21"/>
                <w:szCs w:val="21"/>
                <w:color w:val="auto"/>
              </w:rPr>
            </w:pP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8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center"/>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-1266825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4919980</wp:posOffset>
            </wp:positionH>
            <wp:positionV relativeFrom="paragraph">
              <wp:posOffset>-1249680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-1266825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ind w:right="8340" w:firstLine="8"/>
        <w:spacing w:after="0" w:line="377" w:lineRule="auto"/>
        <w:tabs>
          <w:tab w:leader="none" w:pos="3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Matters</w:t>
      </w:r>
    </w:p>
    <w:p>
      <w:pPr>
        <w:spacing w:after="0" w:line="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The Company is involved in various legal matters generally incidental to its business. After discussion with legal counsel, management is not aware of any matters for which the likelihood of a loss is probable and reasonably estimable and which could have a material impact on its consolidated financial condition, liquidity, or results of operations.</w:t>
      </w:r>
    </w:p>
    <w:p>
      <w:pPr>
        <w:spacing w:after="0" w:line="69"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 xml:space="preserve">On January 22, 2024, Jon Kogut filed a putative class action lawsuit against the Company and the members of its Board of Directors in the Delaware Court of Chancery (the “2024 Delaware Litigation”). The lawsuit asserts claims on behalf of a putative class comprised of all stockholders other than defendants and any current directors or officers of the Company and is captioned </w:t>
      </w:r>
      <w:r>
        <w:rPr>
          <w:rFonts w:ascii="Times New Roman" w:cs="Times New Roman" w:eastAsia="Times New Roman" w:hAnsi="Times New Roman"/>
          <w:sz w:val="17"/>
          <w:szCs w:val="17"/>
          <w:i w:val="1"/>
          <w:iCs w:val="1"/>
          <w:color w:val="auto"/>
        </w:rPr>
        <w:t>Kogut v. Bejar, et al.</w:t>
      </w:r>
      <w:r>
        <w:rPr>
          <w:rFonts w:ascii="Times New Roman" w:cs="Times New Roman" w:eastAsia="Times New Roman" w:hAnsi="Times New Roman"/>
          <w:sz w:val="17"/>
          <w:szCs w:val="17"/>
          <w:color w:val="auto"/>
        </w:rPr>
        <w:t>, C.A. No. 2024-0055-MTZ (Del. Ch.). In his complaint, Mr.</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Kogut contends that certain provisions in the Company’s advance notice bylaws (the “Challenged Provisions”) are invalid and void and that the members of the Board have breached their fiduciary duty of loyalty by adopting and maintaining the Challenged Provisions. In addition to seeking declaratory, equitable, and injunctive relief, Mr. Kogut seeks an award of attorneys’ fees and other costs and expenses on behalf of the putative class.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discussion below contains forward-looking statements that involve risks and uncertainties. Our actual results could differ materially from those anticipated in these forward-looking statements as a result of various factors, including those which are discussed in the “Risk Factors” section in Part I., Item 1A. of our Fiscal 2023 Form 10-K. Also see “Special Note Regarding Forward-Looking Statements” preceding Part I. of this 10-Q. Additionally, our historical results are not necessarily indicative of the results that may be expected or achieved for any future period.</w:t>
      </w:r>
    </w:p>
    <w:p>
      <w:pPr>
        <w:spacing w:after="0" w:line="178" w:lineRule="exact"/>
        <w:rPr>
          <w:sz w:val="20"/>
          <w:szCs w:val="20"/>
          <w:color w:val="auto"/>
        </w:rPr>
      </w:pPr>
    </w:p>
    <w:p>
      <w:pPr>
        <w:ind w:right="760"/>
        <w:spacing w:after="0" w:line="28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and is qualified in its entirety by reference to, the unaudited condensed consolidated financial statements and the notes thereto included in this 10-Q.</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are an outdoor sporting goods retailer focused on meeting the everyday needs of the seasoned outdoor veteran, the first-time participant and everyone in between. Our mission is to provide outstanding gear and exceptional service to inspire outdoor memories.</w:t>
      </w:r>
    </w:p>
    <w:p>
      <w:pPr>
        <w:spacing w:after="0" w:line="163"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auto"/>
        </w:rPr>
        <w:t>Our business was founded in 1986 as a single retail store in Midvale, Utah. Today, we operate 146 stores in 32 states, totaling approximately 5.4 million gross square feet. We also operate an e-commerce platform at www.sportsmans.com. We do not incorporate the information on or accessible through our website into this 10-Q, and you should not consider any information on, or that can be accessed through, our website as part of this 10-Q.</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stores and our e-commerce platform are aggregated into one operating and reportable segment.</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results and operations have been, and will continue to be, impacted by events outside of our control.</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Global economic and business activities continue to face widespread macroeconomic uncertainties, including labor shortages, inflation and monetary supply shifts, elevated interest rates, recession risks and potential disruptions from the Russia-Ukraine conflict and rising global political tensions. Our results may also be impacted by the upcoming change in the presidential administration. In fiscal year 2023 and continuing into fiscal year 2024 our business was impacted by consumer inflationary pressures and recession concerns. As a result of our recent performance, we have taken steps to reduce our total inventory, implement cost reduction measures to reflect current sales trends and reduce investments in future new store openings. We currently do not plan to open any new stores for the remainder of fiscal year 2024 and we plan to open one new store in fiscal year 2025.</w:t>
      </w:r>
    </w:p>
    <w:p>
      <w:pPr>
        <w:spacing w:after="0" w:line="18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We continue to actively monitor the impact of these macroeconomic factors on our financial condition, liquidity, operations, suppliers, industry and workforce. The extent of the impact of these factors on our operational and financial performance, including our ability to execute our business strategies and initiatives in the expected timeframe, will depend on future developments, and the impact on our customers, partners and employees, all of which are uncertain and cannot be predicted; however, any continued or renewed disruption resulting from these factors could negatively impact our business.</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229"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performance and financial measures. The key measures for determining how our business is performing are net sales, same store sales, gross margin, selling, general, and administrative expenses, income from operations and adjusted earnings before interest, taxes, depreciation and amortization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 and Same Store Sales</w:t>
      </w:r>
    </w:p>
    <w:p>
      <w:pPr>
        <w:spacing w:after="0" w:line="134"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8"/>
          <w:szCs w:val="18"/>
          <w:color w:val="auto"/>
        </w:rPr>
        <w:t>Our net sales are primarily received from revenue generated in our stores and also include sales generated through our e-commerce platform. When measuring revenue generated from our stores, we review our same store sales as well as the performance of our stores that have not operated for a sufficient amount of time and include each in same store sales. We include net sales from a store in same store sales on the first day of the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full fiscal month following the store’s grand opening or acquisition by us. We exclude sales from stores that were closed during the period from our same store sales calculation. We include net sales from e-commerce in our calculation of same store sales. For fiscal years consisting of 53 weeks, we exclude net sales during the 53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week from our calculation of same store sales. Some of our competitors and other retailers may calculate same store sales differently than we do. As a result, data regarding our same store sales may not be comparable to similar data made available by other retailers.</w:t>
      </w:r>
    </w:p>
    <w:p>
      <w:pPr>
        <w:spacing w:after="0" w:line="226"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Measuring the change in year-over-year same store sales allows us to evaluate how our retail store base is performing. Various factors affect same store sales, including:</w:t>
      </w:r>
    </w:p>
    <w:p>
      <w:pPr>
        <w:spacing w:after="0" w:line="55" w:lineRule="exact"/>
        <w:rPr>
          <w:sz w:val="20"/>
          <w:szCs w:val="20"/>
          <w:color w:val="auto"/>
        </w:rPr>
      </w:pPr>
    </w:p>
    <w:p>
      <w:pPr>
        <w:ind w:left="1020" w:right="280" w:hanging="368"/>
        <w:spacing w:after="0" w:line="265"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factors, political trends, social unrest, inflationary pressures, recessionary trends, labor shortages, monetary supply shifts, elevated interest rates, tightening of credit markets, and potential disruptions from the ongoing Russia-Ukraine conflict and rising global political tensions;</w:t>
      </w:r>
    </w:p>
    <w:p>
      <w:pPr>
        <w:spacing w:after="0" w:line="69"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buying trends and overall economic trends;</w:t>
      </w:r>
    </w:p>
    <w:p>
      <w:pPr>
        <w:spacing w:after="0" w:line="116" w:lineRule="exact"/>
        <w:rPr>
          <w:rFonts w:ascii="Times New Roman" w:cs="Times New Roman" w:eastAsia="Times New Roman" w:hAnsi="Times New Roman"/>
          <w:sz w:val="18"/>
          <w:szCs w:val="18"/>
          <w:color w:val="auto"/>
        </w:rPr>
      </w:pPr>
    </w:p>
    <w:p>
      <w:pPr>
        <w:ind w:left="1020" w:right="140" w:hanging="368"/>
        <w:spacing w:after="0" w:line="28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anticipated changes to laws and government regulations related to some of the products we sell, in particular regulations relating to the sale of firearms and ammunition;</w:t>
      </w:r>
    </w:p>
    <w:p>
      <w:pPr>
        <w:spacing w:after="0" w:line="54"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respond effectively to local and regional trends and customer preferences;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quality customer service that will increase our conversion of shoppers into paying customers;</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omni-channel strategy and our e-commerce platform;</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regional market of a store;</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atypical weather;</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introductions and changes in our product mix; and</w:t>
      </w:r>
    </w:p>
    <w:p>
      <w:pPr>
        <w:spacing w:after="0" w:line="116"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and average ticket sales.</w:t>
      </w:r>
    </w:p>
    <w:p>
      <w:pPr>
        <w:spacing w:after="0" w:line="225"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We operate in a complex regulatory and legal environment that could negatively impact the demand for our products, which could significantly affect our operations and financial results. State, local and federal laws and regulations relating to products that we sell may change, sometimes significantly, as a result of political, economic or social events. For instance, in November 2022, the State of Oregon passed legislation that will, among other things, impose complex permitting and training requirements for the purchases of firearms. As a result, sales of firearms in Oregon may be halted or substantially diminished until such permitting and training programs are developed by the state, which may take a significant amount of time. If that were to occur, it could result in a substantial decline in our sales of firearms and related products and reduce traffic to our stores in Oregon, which could have a substantial impact on our sales and gross margin. A state court judge in Oregon ruled that the measure violates the Oregon state constitution. This ruling is currently being appealed in the Oregon Court of Appeals. The measure is also being challenged in a related case in federal court and is currently on appeal in the U.S. Court of Appeals for the Ninth Circuit. We currently operate eight stores in the State of Oregon.</w:t>
      </w:r>
    </w:p>
    <w:p>
      <w:pPr>
        <w:spacing w:after="0" w:line="226"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Opening new stores and acquiring store locations is also an important part of our long-term growth strategy. During fiscal year 2023, we opened 15 new stores. We have not opened any new stores in fiscal year 2024 and do not plan to open any new stores for the remainder of fiscal year 2024. We plan to open one new store in fiscal year 2025. We may deviate from this target if attractive opportunities are presented to open stores or acquire new store locations outside of our target growth 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also have been scaling our e-commerce platform and increasing sales through our website, </w:t>
      </w:r>
      <w:r>
        <w:rPr>
          <w:rFonts w:ascii="Times New Roman" w:cs="Times New Roman" w:eastAsia="Times New Roman" w:hAnsi="Times New Roman"/>
          <w:sz w:val="18"/>
          <w:szCs w:val="18"/>
          <w:i w:val="1"/>
          <w:iCs w:val="1"/>
          <w:color w:val="auto"/>
        </w:rPr>
        <w:t>www.sportsmans.com</w:t>
      </w:r>
      <w:r>
        <w:rPr>
          <w:rFonts w:ascii="Times New Roman" w:cs="Times New Roman" w:eastAsia="Times New Roman" w:hAnsi="Times New Roman"/>
          <w:sz w:val="18"/>
          <w:szCs w:val="18"/>
          <w:color w:val="auto"/>
        </w:rPr>
        <w: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the key drivers to increasing our total net sales include:</w:t>
      </w:r>
    </w:p>
    <w:p>
      <w:pPr>
        <w:spacing w:after="0" w:line="117" w:lineRule="exact"/>
        <w:rPr>
          <w:sz w:val="20"/>
          <w:szCs w:val="20"/>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and improving same store sales in our existing markets;</w:t>
      </w:r>
    </w:p>
    <w:p>
      <w:pPr>
        <w:spacing w:after="0" w:line="116"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total gross square footage by opening new stores and through strategic acquisitions;</w:t>
      </w:r>
    </w:p>
    <w:p>
      <w:pPr>
        <w:spacing w:after="0" w:line="116" w:lineRule="exact"/>
        <w:rPr>
          <w:rFonts w:ascii="Times New Roman" w:cs="Times New Roman" w:eastAsia="Times New Roman" w:hAnsi="Times New Roman"/>
          <w:sz w:val="18"/>
          <w:szCs w:val="18"/>
          <w:color w:val="auto"/>
        </w:rPr>
      </w:pPr>
    </w:p>
    <w:p>
      <w:pPr>
        <w:ind w:left="840" w:right="14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customer visits to our stores and improving our conversion rate through focused marketing efforts and continually high standards of customer service;</w:t>
      </w:r>
    </w:p>
    <w:p>
      <w:pPr>
        <w:spacing w:after="0" w:line="54" w:lineRule="exact"/>
        <w:rPr>
          <w:rFonts w:ascii="Times New Roman" w:cs="Times New Roman" w:eastAsia="Times New Roman" w:hAnsi="Times New Roman"/>
          <w:sz w:val="18"/>
          <w:szCs w:val="18"/>
          <w:color w:val="auto"/>
        </w:rPr>
      </w:pPr>
    </w:p>
    <w:p>
      <w:pPr>
        <w:ind w:left="840" w:right="220" w:hanging="368"/>
        <w:spacing w:after="0" w:line="281" w:lineRule="auto"/>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omni-channel capabilities through larger assortment and inventory, expanded content and expertise and better user experience; and</w:t>
      </w:r>
    </w:p>
    <w:p>
      <w:pPr>
        <w:spacing w:after="0" w:line="54" w:lineRule="exact"/>
        <w:rPr>
          <w:rFonts w:ascii="Times New Roman" w:cs="Times New Roman" w:eastAsia="Times New Roman" w:hAnsi="Times New Roman"/>
          <w:sz w:val="18"/>
          <w:szCs w:val="18"/>
          <w:color w:val="auto"/>
        </w:rPr>
      </w:pPr>
    </w:p>
    <w:p>
      <w:pPr>
        <w:ind w:left="840" w:hanging="368"/>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our loyalty and credit card programs.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12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Gross profit consists of our net sales less cost of goods sold. Gross margin measures our gross profit as a percentage of net sales. Our cost of goods sold primarily consists of merchandise acquisition costs, including freight-in costs, shipping costs, payment term discounts received from the vendor and vendor allowances and rebates associated directly with merchandise and shipping costs related to e-commerce sales.</w:t>
      </w:r>
    </w:p>
    <w:p>
      <w:pPr>
        <w:spacing w:after="0" w:line="20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believe the key drivers to improving our gross margin are increasing the product mix to higher margin products, particularly apparel and footwear, increasing foot traffic within our stores and traffic to our website, improving buying opportunities with our vendor partners and coordinating pricing strategies among our stores and our merchandise group. Our ability to properly manage our inventory can also impact our gross margin. Successful inventory management ensures we have sufficient high margin products in stock at all times to meet customer demand, while overstocking of items could lead to markdowns in order to help a product sell. During fiscal year 2023, we commenced an effort to reduce our inventory and initiated various strategic promotional efforts as part of this plan, which impacted our gross margins during fiscal year 2023. At the end of fiscal year 2023, we completed our inventory reduction plan. For fiscal year 2024, high inflation has continued to adversely impact our gross margins. We believe that the overall growth of our business can also help improve our gross margins, because increased merchandise volumes will enable us to maintain our strong relationships with our vendors. If we see significant declines in sales or increases in overstocked inventory, we may experience a decline in gross margins as we use promotions to drive traffic and reduce inventory.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We closely manage our selling, general, and administrative expenses. Our selling, general, and administrative expenses are comprised of payroll, rent and occupancy, depreciation and amortization, acquisition expenses, pre-opening expenses and other operating expenses, including stock-based compensation expense. Pre-opening expenses include expenses incurred in the preparation and opening of a new store location, such as payroll, travel and supplies, but do not include the cost of the initial inventory or capital expenditures required to open a location.</w:t>
      </w:r>
    </w:p>
    <w:p>
      <w:pPr>
        <w:spacing w:after="0" w:line="182"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Our selling, general, and administrative expenses are primarily influenced by the volume of net sales of our locations, except for our corporate payroll, rent and occupancy and depreciation and amortization, which are generally fixed in nature. We control our selling, general, and administrative expenses through a budgeting and reporting process that allows our personnel to adjust our expenses as trends in net sales activity are identified.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21"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Income from operations is gross profit less selling, general, and administrative expenses. We use income from operations as an indicator of the productivity of our business and our ability to manage selling, general, and administrative expenses.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We define Adjusted EBITDA margin as Adjusted EBITDA divided by net sales. In evaluating our business, we use Adjusted EBITDA and Adjusted EBITDA margin as additional measurement tools for purposes of business decision-making, including evaluating store performance, developing budgets and managing expenditures. See “—Non-GAAP Financial Measures.”</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key components of our results of operations as a percentage of net sales during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308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40" w:type="dxa"/>
            <w:vAlign w:val="bottom"/>
            <w:gridSpan w:val="6"/>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920" w:type="dxa"/>
            <w:vAlign w:val="bottom"/>
          </w:tcPr>
          <w:p>
            <w:pPr>
              <w:spacing w:after="0"/>
              <w:rPr>
                <w:sz w:val="10"/>
                <w:szCs w:val="10"/>
                <w:color w:val="auto"/>
              </w:rPr>
            </w:pPr>
          </w:p>
        </w:tc>
        <w:tc>
          <w:tcPr>
            <w:tcW w:w="1200" w:type="dxa"/>
            <w:vAlign w:val="bottom"/>
            <w:tcBorders>
              <w:top w:val="single" w:sz="8" w:color="auto"/>
            </w:tcBorders>
          </w:tcPr>
          <w:p>
            <w:pPr>
              <w:jc w:val="center"/>
              <w:ind w:left="35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left="371"/>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4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20" w:type="dxa"/>
            <w:vAlign w:val="bottom"/>
            <w:tcBorders>
              <w:top w:val="single" w:sz="8" w:color="auto"/>
            </w:tcBorders>
            <w:gridSpan w:val="3"/>
          </w:tcPr>
          <w:p>
            <w:pPr>
              <w:jc w:val="right"/>
              <w:ind w:right="6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620" w:type="dxa"/>
            <w:vAlign w:val="bottom"/>
            <w:tcBorders>
              <w:top w:val="single" w:sz="8" w:color="auto"/>
            </w:tcBorders>
          </w:tcPr>
          <w:p>
            <w:pPr>
              <w:jc w:val="right"/>
              <w:ind w:right="37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gridSpan w:val="2"/>
          </w:tcPr>
          <w:p>
            <w:pPr>
              <w:spacing w:after="0"/>
              <w:rPr>
                <w:sz w:val="10"/>
                <w:szCs w:val="10"/>
                <w:color w:val="auto"/>
              </w:rPr>
            </w:pPr>
          </w:p>
        </w:tc>
      </w:tr>
      <w:tr>
        <w:trPr>
          <w:trHeight w:val="173"/>
        </w:trPr>
        <w:tc>
          <w:tcPr>
            <w:tcW w:w="3920" w:type="dxa"/>
            <w:vAlign w:val="bottom"/>
          </w:tcPr>
          <w:p>
            <w:pPr>
              <w:spacing w:after="0"/>
              <w:rPr>
                <w:sz w:val="15"/>
                <w:szCs w:val="15"/>
                <w:color w:val="auto"/>
              </w:rPr>
            </w:pPr>
          </w:p>
        </w:tc>
        <w:tc>
          <w:tcPr>
            <w:tcW w:w="12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5"/>
                <w:szCs w:val="15"/>
                <w:color w:val="auto"/>
              </w:rPr>
            </w:pPr>
          </w:p>
        </w:tc>
        <w:tc>
          <w:tcPr>
            <w:tcW w:w="260" w:type="dxa"/>
            <w:vAlign w:val="bottom"/>
            <w:gridSpan w:val="2"/>
          </w:tcPr>
          <w:p>
            <w:pPr>
              <w:spacing w:after="0"/>
              <w:rPr>
                <w:sz w:val="15"/>
                <w:szCs w:val="15"/>
                <w:color w:val="auto"/>
              </w:rPr>
            </w:pPr>
          </w:p>
        </w:tc>
        <w:tc>
          <w:tcPr>
            <w:tcW w:w="12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9"/>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4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6"/>
              </w:rPr>
              <w:t>100.0 %</w:t>
            </w:r>
          </w:p>
        </w:tc>
        <w:tc>
          <w:tcPr>
            <w:tcW w:w="12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w w:val="96"/>
              </w:rPr>
              <w:t>100.0 %</w:t>
            </w:r>
          </w:p>
        </w:tc>
        <w:tc>
          <w:tcPr>
            <w:tcW w:w="1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r>
      <w:tr>
        <w:trPr>
          <w:trHeight w:val="21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2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8"/>
                <w:szCs w:val="18"/>
                <w:color w:val="auto"/>
              </w:rPr>
            </w:pPr>
          </w:p>
        </w:tc>
      </w:tr>
      <w:tr>
        <w:trPr>
          <w:trHeight w:val="216"/>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losses</w:t>
            </w:r>
          </w:p>
        </w:tc>
        <w:tc>
          <w:tcPr>
            <w:tcW w:w="1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18"/>
                <w:szCs w:val="18"/>
                <w:color w:val="auto"/>
              </w:rPr>
            </w:pPr>
          </w:p>
        </w:tc>
      </w:tr>
      <w:tr>
        <w:trPr>
          <w:trHeight w:val="216"/>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(0.1 )%</w:t>
            </w:r>
          </w:p>
        </w:tc>
        <w:tc>
          <w:tcPr>
            <w:tcW w:w="1200" w:type="dxa"/>
            <w:vAlign w:val="bottom"/>
          </w:tcPr>
          <w:p>
            <w:pPr>
              <w:spacing w:after="0"/>
              <w:rPr>
                <w:sz w:val="18"/>
                <w:szCs w:val="18"/>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39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EBITDA</w:t>
            </w:r>
          </w:p>
        </w:tc>
        <w:tc>
          <w:tcPr>
            <w:tcW w:w="1200" w:type="dxa"/>
            <w:vAlign w:val="bottom"/>
          </w:tcPr>
          <w:p>
            <w:pPr>
              <w:spacing w:after="0"/>
              <w:rPr>
                <w:sz w:val="17"/>
                <w:szCs w:val="17"/>
                <w:color w:val="auto"/>
              </w:rPr>
            </w:pPr>
          </w:p>
        </w:tc>
        <w:tc>
          <w:tcPr>
            <w:tcW w:w="680" w:type="dxa"/>
            <w:vAlign w:val="bottom"/>
            <w:gridSpan w:val="3"/>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5.1 %</w:t>
            </w:r>
          </w:p>
        </w:tc>
        <w:tc>
          <w:tcPr>
            <w:tcW w:w="1200" w:type="dxa"/>
            <w:vAlign w:val="bottom"/>
          </w:tcPr>
          <w:p>
            <w:pPr>
              <w:spacing w:after="0"/>
              <w:rPr>
                <w:sz w:val="17"/>
                <w:szCs w:val="17"/>
                <w:color w:val="auto"/>
              </w:rPr>
            </w:pPr>
          </w:p>
        </w:tc>
        <w:tc>
          <w:tcPr>
            <w:tcW w:w="700" w:type="dxa"/>
            <w:vAlign w:val="bottom"/>
            <w:gridSpan w:val="3"/>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4.8 %</w:t>
            </w:r>
          </w:p>
        </w:tc>
        <w:tc>
          <w:tcPr>
            <w:tcW w:w="1820" w:type="dxa"/>
            <w:vAlign w:val="bottom"/>
            <w:gridSpan w:val="3"/>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1.8 %</w:t>
            </w:r>
          </w:p>
        </w:tc>
        <w:tc>
          <w:tcPr>
            <w:tcW w:w="1820" w:type="dxa"/>
            <w:vAlign w:val="bottom"/>
            <w:gridSpan w:val="3"/>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2.1 %</w:t>
            </w:r>
          </w:p>
        </w:tc>
      </w:tr>
      <w:tr>
        <w:trPr>
          <w:trHeight w:val="20"/>
        </w:trPr>
        <w:tc>
          <w:tcPr>
            <w:tcW w:w="39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43"/>
        </w:trPr>
        <w:tc>
          <w:tcPr>
            <w:tcW w:w="3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1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39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3524250</wp:posOffset>
            </wp:positionH>
            <wp:positionV relativeFrom="paragraph">
              <wp:posOffset>-2362835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-2362835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-2362835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-2362835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3524250</wp:posOffset>
            </wp:positionH>
            <wp:positionV relativeFrom="paragraph">
              <wp:posOffset>-2080260</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-2080260</wp:posOffset>
            </wp:positionV>
            <wp:extent cx="768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-2080260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-2080260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-1369060</wp:posOffset>
            </wp:positionV>
            <wp:extent cx="7132320" cy="1625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percentage of net sales by department during the periods presented: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8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44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c>
          <w:tcPr>
            <w:tcW w:w="0" w:type="dxa"/>
            <w:vAlign w:val="bottom"/>
          </w:tcPr>
          <w:p>
            <w:pPr>
              <w:spacing w:after="0"/>
              <w:rPr>
                <w:sz w:val="1"/>
                <w:szCs w:val="1"/>
                <w:color w:val="auto"/>
              </w:rPr>
            </w:pPr>
          </w:p>
        </w:tc>
      </w:tr>
      <w:tr>
        <w:trPr>
          <w:trHeight w:val="117"/>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Department</w:t>
            </w:r>
          </w:p>
        </w:tc>
        <w:tc>
          <w:tcPr>
            <w:tcW w:w="120" w:type="dxa"/>
            <w:vAlign w:val="bottom"/>
          </w:tcPr>
          <w:p>
            <w:pPr>
              <w:spacing w:after="0"/>
              <w:rPr>
                <w:sz w:val="10"/>
                <w:szCs w:val="10"/>
                <w:color w:val="auto"/>
              </w:rPr>
            </w:pPr>
          </w:p>
        </w:tc>
        <w:tc>
          <w:tcPr>
            <w:tcW w:w="3240" w:type="dxa"/>
            <w:vAlign w:val="bottom"/>
            <w:vMerge w:val="restart"/>
          </w:tcPr>
          <w:p>
            <w:pPr>
              <w:ind w:left="1060"/>
              <w:spacing w:after="0"/>
              <w:rPr>
                <w:sz w:val="20"/>
                <w:szCs w:val="20"/>
                <w:color w:val="auto"/>
              </w:rPr>
            </w:pPr>
            <w:r>
              <w:rPr>
                <w:rFonts w:ascii="Times New Roman" w:cs="Times New Roman" w:eastAsia="Times New Roman" w:hAnsi="Times New Roman"/>
                <w:sz w:val="14"/>
                <w:szCs w:val="14"/>
                <w:b w:val="1"/>
                <w:bCs w:val="1"/>
                <w:color w:val="auto"/>
              </w:rPr>
              <w:t>Product Offerings</w:t>
            </w:r>
          </w:p>
        </w:tc>
        <w:tc>
          <w:tcPr>
            <w:tcW w:w="120" w:type="dxa"/>
            <w:vAlign w:val="bottom"/>
            <w:vMerge w:val="restart"/>
          </w:tcPr>
          <w:p>
            <w:pPr>
              <w:spacing w:after="0"/>
              <w:rPr>
                <w:sz w:val="10"/>
                <w:szCs w:val="10"/>
                <w:color w:val="auto"/>
              </w:rPr>
            </w:pPr>
          </w:p>
        </w:tc>
        <w:tc>
          <w:tcPr>
            <w:tcW w:w="1260" w:type="dxa"/>
            <w:vAlign w:val="bottom"/>
            <w:tcBorders>
              <w:top w:val="single" w:sz="8" w:color="auto"/>
            </w:tcBorders>
            <w:gridSpan w:val="3"/>
          </w:tcPr>
          <w:p>
            <w:pPr>
              <w:jc w:val="center"/>
              <w:ind w:right="2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20" w:type="dxa"/>
            <w:vAlign w:val="bottom"/>
            <w:tcBorders>
              <w:top w:val="single" w:sz="8" w:color="auto"/>
            </w:tcBorders>
          </w:tcPr>
          <w:p>
            <w:pPr>
              <w:jc w:val="right"/>
              <w:ind w:right="7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Borders>
              <w:top w:val="single" w:sz="8" w:color="auto"/>
            </w:tcBorders>
            <w:gridSpan w:val="3"/>
          </w:tcPr>
          <w:p>
            <w:pPr>
              <w:jc w:val="center"/>
              <w:ind w:right="20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060" w:type="dxa"/>
            <w:vAlign w:val="bottom"/>
            <w:tcBorders>
              <w:top w:val="single" w:sz="8" w:color="auto"/>
            </w:tcBorders>
          </w:tcPr>
          <w:p>
            <w:pPr>
              <w:jc w:val="right"/>
              <w:ind w:right="95"/>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9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2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Camping</w:t>
            </w:r>
          </w:p>
        </w:tc>
        <w:tc>
          <w:tcPr>
            <w:tcW w:w="120" w:type="dxa"/>
            <w:vAlign w:val="bottom"/>
          </w:tcPr>
          <w:p>
            <w:pPr>
              <w:spacing w:after="0"/>
              <w:rPr>
                <w:sz w:val="16"/>
                <w:szCs w:val="16"/>
                <w:color w:val="auto"/>
              </w:rPr>
            </w:pPr>
          </w:p>
        </w:tc>
        <w:tc>
          <w:tcPr>
            <w:tcW w:w="33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Backpacks, camp essentials, canoes and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kayaks, coolers, outdoor cooking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equipment, sleeping bags, tents and tools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11.7 %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11.1 %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Apparel</w:t>
            </w:r>
          </w:p>
        </w:tc>
        <w:tc>
          <w:tcPr>
            <w:tcW w:w="120" w:type="dxa"/>
            <w:vAlign w:val="bottom"/>
          </w:tcPr>
          <w:p>
            <w:pPr>
              <w:spacing w:after="0"/>
              <w:rPr>
                <w:sz w:val="17"/>
                <w:szCs w:val="17"/>
                <w:color w:val="auto"/>
              </w:rPr>
            </w:pPr>
          </w:p>
        </w:tc>
        <w:tc>
          <w:tcPr>
            <w:tcW w:w="33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Camouflage, jackets, hats, outerwear,</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sportswear, technical gear and work wear</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8.3 %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10.9 %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Fishing</w:t>
            </w:r>
          </w:p>
        </w:tc>
        <w:tc>
          <w:tcPr>
            <w:tcW w:w="120" w:type="dxa"/>
            <w:vAlign w:val="bottom"/>
          </w:tcPr>
          <w:p>
            <w:pPr>
              <w:spacing w:after="0"/>
              <w:rPr>
                <w:sz w:val="17"/>
                <w:szCs w:val="17"/>
                <w:color w:val="auto"/>
              </w:rPr>
            </w:pPr>
          </w:p>
        </w:tc>
        <w:tc>
          <w:tcPr>
            <w:tcW w:w="33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Bait, electronics, fishing rods, flotation</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items, fly fishing, lines, lures, reels, tackle</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small boats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Footwear</w:t>
            </w:r>
          </w:p>
        </w:tc>
        <w:tc>
          <w:tcPr>
            <w:tcW w:w="120" w:type="dxa"/>
            <w:vAlign w:val="bottom"/>
          </w:tcPr>
          <w:p>
            <w:pPr>
              <w:spacing w:after="0"/>
              <w:rPr>
                <w:sz w:val="17"/>
                <w:szCs w:val="17"/>
                <w:color w:val="auto"/>
              </w:rPr>
            </w:pPr>
          </w:p>
        </w:tc>
        <w:tc>
          <w:tcPr>
            <w:tcW w:w="33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Hiking boots, socks, sport sandals, technical</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footwear, trail shoes, casual shoes, waders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work boots</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Hunting and Shooting</w:t>
            </w:r>
          </w:p>
        </w:tc>
        <w:tc>
          <w:tcPr>
            <w:tcW w:w="120" w:type="dxa"/>
            <w:vAlign w:val="bottom"/>
          </w:tcPr>
          <w:p>
            <w:pPr>
              <w:spacing w:after="0"/>
              <w:rPr>
                <w:sz w:val="17"/>
                <w:szCs w:val="17"/>
                <w:color w:val="auto"/>
              </w:rPr>
            </w:pPr>
          </w:p>
        </w:tc>
        <w:tc>
          <w:tcPr>
            <w:tcW w:w="33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Ammunition, archery items, ATV</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accessories, blinds and tree stands, decoys,</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firearms, reloading equipment and shooting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gear</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57.9 %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55.8 %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56.2 %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197"/>
        </w:trPr>
        <w:tc>
          <w:tcPr>
            <w:tcW w:w="2900" w:type="dxa"/>
            <w:vAlign w:val="bottom"/>
          </w:tcPr>
          <w:p>
            <w:pPr>
              <w:ind w:left="20"/>
              <w:spacing w:after="0" w:line="197" w:lineRule="exact"/>
              <w:rPr>
                <w:sz w:val="20"/>
                <w:szCs w:val="20"/>
                <w:color w:val="auto"/>
              </w:rPr>
            </w:pPr>
            <w:r>
              <w:rPr>
                <w:rFonts w:ascii="Times New Roman" w:cs="Times New Roman" w:eastAsia="Times New Roman" w:hAnsi="Times New Roman"/>
                <w:sz w:val="18"/>
                <w:szCs w:val="18"/>
                <w:color w:val="auto"/>
              </w:rPr>
              <w:t>Optics, Electronics, Accessories, and</w:t>
            </w:r>
          </w:p>
        </w:tc>
        <w:tc>
          <w:tcPr>
            <w:tcW w:w="120" w:type="dxa"/>
            <w:vAlign w:val="bottom"/>
          </w:tcPr>
          <w:p>
            <w:pPr>
              <w:spacing w:after="0"/>
              <w:rPr>
                <w:sz w:val="17"/>
                <w:szCs w:val="17"/>
                <w:color w:val="auto"/>
              </w:rPr>
            </w:pPr>
          </w:p>
        </w:tc>
        <w:tc>
          <w:tcPr>
            <w:tcW w:w="3360" w:type="dxa"/>
            <w:vAlign w:val="bottom"/>
            <w:gridSpan w:val="2"/>
          </w:tcPr>
          <w:p>
            <w:pPr>
              <w:ind w:left="20"/>
              <w:spacing w:after="0" w:line="197" w:lineRule="exact"/>
              <w:rPr>
                <w:sz w:val="20"/>
                <w:szCs w:val="20"/>
                <w:color w:val="auto"/>
              </w:rPr>
            </w:pPr>
            <w:r>
              <w:rPr>
                <w:rFonts w:ascii="Times New Roman" w:cs="Times New Roman" w:eastAsia="Times New Roman" w:hAnsi="Times New Roman"/>
                <w:sz w:val="18"/>
                <w:szCs w:val="18"/>
                <w:color w:val="auto"/>
              </w:rPr>
              <w:t>Gift items, GPS devices, knives, lighting,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optics, two-way radios, and other license</w:t>
            </w:r>
          </w:p>
        </w:tc>
        <w:tc>
          <w:tcPr>
            <w:tcW w:w="126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7.9 %</w:t>
            </w:r>
          </w:p>
        </w:tc>
        <w:tc>
          <w:tcPr>
            <w:tcW w:w="122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7.1 %</w:t>
            </w:r>
          </w:p>
        </w:tc>
        <w:tc>
          <w:tcPr>
            <w:tcW w:w="12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1"/>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3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 net of revenue discounts</w:t>
            </w:r>
          </w:p>
        </w:tc>
        <w:tc>
          <w:tcPr>
            <w:tcW w:w="1260" w:type="dxa"/>
            <w:vAlign w:val="bottom"/>
            <w:gridSpan w:val="3"/>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220" w:type="dxa"/>
            <w:vAlign w:val="bottom"/>
            <w:gridSpan w:val="3"/>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-2628265</wp:posOffset>
            </wp:positionV>
            <wp:extent cx="7132320" cy="410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410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410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-1120775</wp:posOffset>
            </wp:positionV>
            <wp:extent cx="7132320" cy="5480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5480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Thirteen Weeks Ended November 2, 2024 Compared to Thirteen Weeks Ended October 28, 2023</w:t>
      </w:r>
    </w:p>
    <w:p>
      <w:pPr>
        <w:spacing w:after="0" w:line="11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$16.3 million, or 4.8%, to $324.3 million during the 13 weeks ended November 2, 2024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$340.6 million in the corresponding period of fiscal year 2023. Our net sales decreased primarily due to the continued impact of consumer inflationary pressures on discretionary spending, resulting in a decline in store traffic and lower demand, particularly in ammunition, and across our Apparel and Footwear departments. This decrease was partially offset by net sales growth in our Fishing, Optics, Electronics, Accessories and Other and Camping departments. Stores that have been open for less than 12 months and were, therefore, not included in our same store sales, contributed $4.0 million to net sales. E-commerce driven sales comprised more than 18% of total sales for the 13 weeks ended November 2, 2024. Same store sales decreased by 5.7% during the 13 weeks ended November 2, 2024 compared to the corresponding 13-week period of fiscal year 2023, primarily as a result of inflationary pressures on consumer discretionary spending.</w:t>
      </w:r>
    </w:p>
    <w:p>
      <w:pPr>
        <w:spacing w:after="0" w:line="21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Optics, Electronics, Accessories and Other, Fishing and Camping departments saw net sales increases of $1.7 million, $1.0 million and $0.1 million, respectively, during the 13 weeks ended November 2, 2024 compared to the corresponding period of fiscal year 2023 primarily driven by our reset of fishing inventory and the opening of 1 new store since October 28, 2023. Our Apparel, Footwear and Hunting and Shooting departments saw net sales decreases of $10.3 million, $6.6 million and $2.2 million, respectively, during the 13 weeks ended November 2, 2024 compared to the corresponding period of fiscal year 2023. Within our Hunting and Shooting department, our ammunition and firearm categories saw decreases of $5.9 million and $0.7 million or 10.7% and 1.1%, respectively, during the 13 weeks ended November 2, 2024 compared to the corresponding period of fiscal year 2023. The</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8" w:right="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decreases in the firearm and ammunition categories were primarily due to the impact of consumer inflationary pressures on discretionary spending. This was partially offset by our opening of 1 new store since October 28, 2023.</w:t>
      </w:r>
    </w:p>
    <w:p>
      <w:pPr>
        <w:spacing w:after="0" w:line="19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13 weeks ended November 2, 2024, our Fishing and Optics, Electronics, Accessories and Other departments saw increases of 3.2% and 2.6%, respectively, compared to the corresponding period of fiscal year 2023. Our Apparel, Footwear, Hunting and Shooting and Camping departments saw same store sales decreases of 28.3%, 25.4%, 2.0% and 0.4%, respectively, during the 13 weeks ended November 2, 2024 compared to the corresponding period of fiscal year 2023. These changes were primarily driven by the items noted above for net sales. As of November 2, 2024, 145 stores were included in our same store sales calculation.</w:t>
      </w:r>
    </w:p>
    <w:p>
      <w:pPr>
        <w:spacing w:after="0" w:line="20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$0.1 million, or 0.1%, to $103.1 million during the 13 weeks ended November 2, 2024 compared to $103.2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2023. As a percentage of net sales, gross profit increased to 31.8% during the 13 weeks ended November 2, 2024, compared to 30.3% for the corresponding period of fiscal year 2023, primarily driven by increased product margins in our Apparel and Footwear departments, partially offset by increased freight and shrink.</w:t>
      </w:r>
    </w:p>
    <w:p>
      <w:pPr>
        <w:spacing w:after="0" w:line="202"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$0.1 million, or 0.1%, to $100 million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13 weeks ended November 2, 2024, compared to $100.1 million for the corresponding period of fiscal year 2023. This decrease was primarily the result of decreases in payroll, pre-opening and depreciation expenses of $0.9 million, $0.9 million and $0.7 million, respectively, during the 13 weeks ended November 2, 2024. These reductions were primarily related to increased operational efficiencies and the decision to not open new stores during the current fiscal year. The decreases were offset by an increase of $0.9 million in rent expense, primarily as a result of inflation, and a $1.8 million legal settlement during the 13 weeks ended November 2, 2024.</w:t>
      </w:r>
    </w:p>
    <w:p>
      <w:pPr>
        <w:spacing w:after="0" w:line="18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On a per store basis, our payroll expense decreased approximately 3% compared to the corresponding period of fiscal year 2023. On a per store basis, our other operating expenses increased approximately 2% compared to the corresponding period of fiscal year 2023 as we increased marketing spend to help drive sales. As a percentage of net sales, selling, general, and administrative expenses increased to 30.8% of net sales in the third quarter of fiscal year 2024, compared to 29.4% of net sales in the third quarter of fiscal year 2023, as a result of the factors discussed above.</w:t>
      </w:r>
    </w:p>
    <w:p>
      <w:pPr>
        <w:spacing w:after="0" w:line="205" w:lineRule="exact"/>
        <w:rPr>
          <w:sz w:val="20"/>
          <w:szCs w:val="20"/>
          <w:color w:val="auto"/>
        </w:rPr>
      </w:pPr>
    </w:p>
    <w:p>
      <w:pPr>
        <w:jc w:val="both"/>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by $0.6 million, or 15.4%, to $3.3 million during the 13 weeks ended November 2, 2024, compared to $3.9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2023. The decrease in interest expense was primarily driven by decreased gross borrowings under our revolving credit and term loan facilities partially offset by a higher weighted average interest rate during the third quarter of fiscal year 2024 compared to the corresponding period of fiscal year 2023.</w:t>
      </w:r>
    </w:p>
    <w:p>
      <w:pPr>
        <w:spacing w:after="0" w:line="202" w:lineRule="exact"/>
        <w:rPr>
          <w:sz w:val="20"/>
          <w:szCs w:val="20"/>
          <w:color w:val="auto"/>
        </w:rPr>
      </w:pPr>
    </w:p>
    <w:p>
      <w:pPr>
        <w:jc w:val="both"/>
        <w:ind w:right="3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expense of $0.2 million during the 13 weeks ended November 2, 2024 compared to an income tax expense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$0.5 million during the corresponding period of fiscal year 2023. Our effective tax rates during the 13 weeks ended November 2, 2024 and October 28, 2023 were -80.2% and -52.6%, respectively. Our effective tax rate will generally differ from the U.S. Federal statutory rate of 21.0%, due to state taxes, permanent items, and discrete items relating to stock award deductions.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Thirty-Nine Weeks Ended November 2, 2024 Compared to Thirty-Nine Weeks Ended October 28, 2023</w:t>
      </w:r>
    </w:p>
    <w:p>
      <w:pPr>
        <w:spacing w:after="0" w:line="11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and Same Store Sales. </w:t>
      </w:r>
      <w:r>
        <w:rPr>
          <w:rFonts w:ascii="Times New Roman" w:cs="Times New Roman" w:eastAsia="Times New Roman" w:hAnsi="Times New Roman"/>
          <w:sz w:val="18"/>
          <w:szCs w:val="18"/>
          <w:color w:val="auto"/>
        </w:rPr>
        <w:t>Net sales decreased by $60.4 million, or 6.6%, to $857.2 million during the 39 weeks ended November 2, 2024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$917.6 million in the corresponding period of fiscal year 2023. Our net sales decreased primarily due to the continued impact of consumer inflationary pressures on discretionary spending, resulting in a decline in store traffic and lower demand across most product categories. This decrease was partially offset by same store sales growth in our Fishing department and our opening of 1 new store since October 28, 2023. Stores that have been open for less than 12 months and were, therefore, not included in our same store sales, contributed $30.8 million to net sales. E-commerce driven sales comprised more than 19% of total sales for the 39 weeks ended November 2, 2024. Same store sales decreased by 9.4% during the 39 weeks ended November 2, 2024</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compared to the corresponding 39-week period of fiscal year 2023, primarily as a result of the factors discussed above that impacted net sales.</w:t>
      </w:r>
    </w:p>
    <w:p>
      <w:pPr>
        <w:spacing w:after="0" w:line="2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Fishing department saw a net sales increase of $7.6 million during the 39 weeks ended November 2, 2024 compared to the corresponding period of fiscal year 2023 primarily driven by our reset of fishing inventory and the opening of 1 new store since October 28, 2023. Our Hunting and Shooting, Apparel, Footwear, Camping and Optics, Electronics, Accessories and Other departments saw net sales decreases of $31.4 million, $17.3 million, $14.4 million, $3.7 million and $1.2 million, respectively, during the 39 weeks ended November 2, 2024 compared to the corresponding period of fiscal year 2023. Within our Hunting and Shooting department, our ammunition and firearm categories saw decreases of $18.7 million and $12.6 million or 12.9% and 5.9%, respectively, during the 39 weeks ended November 2, 2024 compared to the corresponding period of fiscal year 2023. The decreases in the firearm and ammunition categories were primarily due to the impact of consumer inflationary pressures on discretionary spending. This was partially offset by our opening of 1 new store since October 28, 2023.</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With respect to same store sales, during the 39 weeks ended November 2, 2024, our Fishing department saw an increase of 4.8% compared to the corresponding period of fiscal year 2023. Our Apparel, Footwear, Hunting and Shooting, Camping and Optics, Electronics, Accessories and Other departments saw same store sales decreases of 24.8%, 23.8%, 9.1%, 5.6% and 5.3%, respectively, during the 39 weeks ended November 2, 2024 compared to the corresponding period of fiscal year 2023. These changes were primarily driven by the items noted above for net sales. As of November 2, 2024, 145 stores were included in our same store sales calculation.</w:t>
      </w:r>
    </w:p>
    <w:p>
      <w:pPr>
        <w:spacing w:after="0" w:line="20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decreased by $17.2 million, or 6.0%, to $266.9 million during the 39 weeks ended November 2, 2024 compared to $284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the corresponding period of fiscal year 2023. As a percentage of net sales, gross profit increased to 31.1% during the 39 weeks ended November 2, 2024, compared to 31.0% for the corresponding period of fiscal year 2023, primarily driven by increased product margins, versus last years Apparel and Footwear clearance events which put pressure on gross margin, partially offset by increased shrink.</w:t>
      </w:r>
    </w:p>
    <w:p>
      <w:pPr>
        <w:spacing w:after="0" w:line="20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decreased by $12.7 million, or 4.2%, to $288.7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during the 39 weeks ended November 2, 2024, compared to $301.5 million for the corresponding period of fiscal year 2023. This decrease was primarily the result of decreases in payroll and pre-opening expenses of $11.6 million and $5.4 million, respectively, during the 39 weeks ended November 2, 2024 primarily related to our ongoing cost reduction efforts and decision to not open new stores during the current fiscal year. These decreases were partially offset by increases of $4.1 million and $2.1 million in rent and depreciation expenses, respectively, during the 39 weeks ended November 2, 2024 primarily as a result of opening 1 new store since October 28, 2023.</w:t>
      </w:r>
    </w:p>
    <w:p>
      <w:pPr>
        <w:spacing w:after="0" w:line="18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On a per store basis, our payroll and other operating expenses decreased approximately 13% and 5%, respectively, compared to the corresponding period of fiscal year 2023. As a percentage of net sales, selling, general, and administrative expenses increased to 33.6% of net sales during the 39 weeks ended November 2, 2024, compared to 32.9% of net sales in the third quarter of fiscal year 2023, primarily driven by lower net sales.</w:t>
      </w:r>
    </w:p>
    <w:p>
      <w:pPr>
        <w:spacing w:after="0" w:line="200"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decreased by $0.1 million, or 1.1%, to $9.4 million during the 39 weeks ended November 2, 2024, compared to $9.5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corresponding period of fiscal year 2023. The decrease in interest expense was primarily driven by decreased gross borrowings under our revolving credit and term loan facilities, partially offset by higher weighted average interest rates during the 39 weeks ended November 2, 2024 compared to the corresponding period of fiscal year 2023.</w:t>
      </w:r>
    </w:p>
    <w:p>
      <w:pPr>
        <w:spacing w:after="0" w:line="202"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Taxes. </w:t>
      </w:r>
      <w:r>
        <w:rPr>
          <w:rFonts w:ascii="Times New Roman" w:cs="Times New Roman" w:eastAsia="Times New Roman" w:hAnsi="Times New Roman"/>
          <w:sz w:val="18"/>
          <w:szCs w:val="18"/>
          <w:color w:val="auto"/>
        </w:rPr>
        <w:t>We recognized income tax benefit of $7.4 million during the 39 weeks ended November 2, 2024 compared to an income tax benefit of $6.7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during the corresponding period of fiscal year 2023. Our effective tax rates during the 39 weeks ended November 2, 2024 and October 28, 2023 were 23.2% and 24.8%, respectively. Our effective tax rate will generally differ from the U.S. Federal statutory rate of 21.0%, due to state taxes, permanent items, and discrete items relating to stock award deductions.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Net sales are typically higher in our third and fourth fiscal quarters than in our first and second fiscal quarters because of the openings of hunting seasons across the country and consumer holiday buying patterns. We also incur additional expenses in our third and fourth fiscal quarters due to higher sales volume and increased staffing in our stores. We anticipate our net sales will continue to reflect this seasonal pattern.</w:t>
      </w:r>
    </w:p>
    <w:p>
      <w:pPr>
        <w:spacing w:after="0" w:line="17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timing of our new retail store openings also may have an impact on our quarterly results. First, we incur certain non-recurring expenses related to opening each new retail store, which are expensed as they are incurred. Second, most store expenses generally vary proportionately with net sales, but there is also a fixed cost component, which includes occupancy costs. These fixed costs typically result in lower store profitability during the initial period after a new retail store opens. Due to both of these factors, new retail store openings may result in a temporary decline in operating profit, in dollars and/or as a percentage of net sales.</w:t>
      </w:r>
    </w:p>
    <w:p>
      <w:pPr>
        <w:spacing w:after="0" w:line="1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Weather conditions affect outdoor activities and the demand for related apparel and equipment. Customers’ demand for our products, and, therefore, our net sales, can be significantly impacted by weather patterns on a local, regional and national basis.</w:t>
      </w:r>
    </w:p>
    <w:p>
      <w:pPr>
        <w:spacing w:after="0" w:line="1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Uses and Sources of Cash</w:t>
      </w:r>
    </w:p>
    <w:p>
      <w:pPr>
        <w:spacing w:after="0" w:line="121" w:lineRule="exact"/>
        <w:rPr>
          <w:sz w:val="20"/>
          <w:szCs w:val="20"/>
          <w:color w:val="auto"/>
        </w:rPr>
      </w:pPr>
    </w:p>
    <w:p>
      <w:pPr>
        <w:jc w:val="both"/>
        <w:ind w:right="40"/>
        <w:spacing w:after="0" w:line="265" w:lineRule="auto"/>
        <w:rPr>
          <w:sz w:val="20"/>
          <w:szCs w:val="20"/>
          <w:color w:val="auto"/>
        </w:rPr>
      </w:pPr>
      <w:r>
        <w:rPr>
          <w:rFonts w:ascii="Times New Roman" w:cs="Times New Roman" w:eastAsia="Times New Roman" w:hAnsi="Times New Roman"/>
          <w:sz w:val="18"/>
          <w:szCs w:val="18"/>
          <w:color w:val="auto"/>
        </w:rPr>
        <w:t>As of November 2, 2024, we had cash and cash equivalents of $2.7 million and working capital, consisting of current assets less current liabilities, of $75.8 million. We also had $148.1 million available for borrowing under our senior secured revolving credit facility and our term loan facility as of November 2, 2024, calculated based upon certain borrowing base restrictions for each of the revolving credit facility and term loan facility.</w:t>
      </w:r>
    </w:p>
    <w:p>
      <w:pPr>
        <w:spacing w:after="0" w:line="17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Our primary cash requirements are for seasonal working capital needs and capital expenditures related to ongoing operational needs and new system investments. For both the short-term and the long-term, our primary sources of cash are borrowings under our senior secured revolving credit facility, our term loan facility and operating cash flows. We believe that our cash on hand, cash generated by operating activities and funds available under our revolving credit facility and term loan facility will be sufficient to finance our operating activities and meet our cash requirements for at least the next twelve months and beyond. With no new stores planned for the remainder of fiscal year 2024, and only one new store planned for fiscal year 2025, we intend to prioritize the repayment of outstanding debt with any excess cash flow.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Cash Requirements</w:t>
      </w:r>
    </w:p>
    <w:p>
      <w:pPr>
        <w:spacing w:after="0" w:line="121"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Our material cash requirements from known contractual and other obligations are primarily for general operating expenses and other expenses discussed below.</w:t>
      </w:r>
    </w:p>
    <w:p>
      <w:pPr>
        <w:spacing w:after="0" w:line="16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Obligations. </w:t>
      </w:r>
      <w:r>
        <w:rPr>
          <w:rFonts w:ascii="Times New Roman" w:cs="Times New Roman" w:eastAsia="Times New Roman" w:hAnsi="Times New Roman"/>
          <w:sz w:val="18"/>
          <w:szCs w:val="18"/>
          <w:color w:val="auto"/>
        </w:rPr>
        <w:t>In the ordinary course of business, we enter into arrangements with vendors to purchase merchandise in advance of expected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delivery. We or the vendor can generally terminate the purchase orders at any time. These purchase orders do not contain any termination payments or other penalties if cancelled.</w:t>
      </w:r>
    </w:p>
    <w:p>
      <w:pPr>
        <w:spacing w:after="0" w:line="1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Operating Lease Obligations. </w:t>
      </w:r>
      <w:r>
        <w:rPr>
          <w:rFonts w:ascii="Times New Roman" w:cs="Times New Roman" w:eastAsia="Times New Roman" w:hAnsi="Times New Roman"/>
          <w:sz w:val="18"/>
          <w:szCs w:val="18"/>
          <w:color w:val="auto"/>
        </w:rPr>
        <w:t>Operating lease commitments consist principally of leases for our retail stores, corporate office and distribution center.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leases often include options which allow us to extend the terms beyond the initial lease term. As of November 2, 2024, our expected operating lease payments for the remainder of fiscal year 2024 and fiscal year 2025 are $18.7 million and $72.8 million, respectively. Our total committed lease payments are $471.3 million. Other operating lease obligations consist of distribution center equipment. See Note 6, “Leases” to our unaudited condensed consolidated financial statements included in this 10-Q.</w:t>
      </w:r>
    </w:p>
    <w:p>
      <w:pPr>
        <w:spacing w:after="0" w:line="182"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Capital Expenditures. </w:t>
      </w:r>
      <w:r>
        <w:rPr>
          <w:rFonts w:ascii="Times New Roman" w:cs="Times New Roman" w:eastAsia="Times New Roman" w:hAnsi="Times New Roman"/>
          <w:sz w:val="18"/>
          <w:szCs w:val="18"/>
          <w:color w:val="auto"/>
        </w:rPr>
        <w:t>During the 39 weeks ended November 2, 2024, we incurred approximately $11.3 million in capital expenditures primarily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technological investments and general store maintenance. We expect capital expenditures, net of tenant allowances, between $17 million and $20 million for fiscal year 2024 (inclusive of amounts spent during the 39 weeks ended November 2, 2024) primarily related to strategic</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technological investments, such as planogramming, merchandising and replenishment and store scheduling tools, and general store fleet maintenance. We intend to fund these capital expenditures with our operating cash flows, cash on hand and funds available under our revolving credit facility. Other investment opportunities, such as potential strategic acquisitions or store expansion rates in excess of those presently planned, may require additional funding.</w:t>
      </w:r>
    </w:p>
    <w:p>
      <w:pPr>
        <w:spacing w:after="0" w:line="18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Principal and Interest Payments. </w:t>
      </w:r>
      <w:r>
        <w:rPr>
          <w:rFonts w:ascii="Times New Roman" w:cs="Times New Roman" w:eastAsia="Times New Roman" w:hAnsi="Times New Roman"/>
          <w:sz w:val="18"/>
          <w:szCs w:val="18"/>
          <w:color w:val="auto"/>
        </w:rPr>
        <w:t>We maintain a $350.0 million revolving credit facility and a $45.0 million term loan facility. As of November 2,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$145.7 million was outstanding under the revolving credit facility and $25.0 million was outstanding under the term loan facility. Assuming no additional repayments or borrowings on our revolving credit facility and our term loan facility after November 2, 2024, our interest payments would be approximately $3.0 million for the remainder of fiscal year 2024 and approximately $12.0 million for fiscal year 2025, in each case, based on the interest rate as of November 2, 2024. As of November 2, 2024, our weighted average interest rate on the amounts outstanding under our revolving credit facility and term loan facility was 7.02%. See below under “Indebtedness” for additional information regarding our revolving credit facility and term loan facility, including the interest rates applicable to any borrowing under such facilities.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 provided by (used in) operating, investing and financing activities are shown in the following table: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60" w:type="dxa"/>
            <w:vAlign w:val="bottom"/>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77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960" w:type="dxa"/>
            <w:vAlign w:val="bottom"/>
            <w:tcBorders>
              <w:top w:val="single" w:sz="8" w:color="auto"/>
            </w:tcBorders>
            <w:gridSpan w:val="3"/>
          </w:tcPr>
          <w:p>
            <w:pPr>
              <w:jc w:val="right"/>
              <w:ind w:right="10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1200" w:type="dxa"/>
            <w:vAlign w:val="bottom"/>
            <w:tcBorders>
              <w:top w:val="single" w:sz="8" w:color="auto"/>
            </w:tcBorders>
          </w:tcPr>
          <w:p>
            <w:pPr>
              <w:jc w:val="right"/>
              <w:ind w:right="337"/>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100" w:type="dxa"/>
            <w:vAlign w:val="bottom"/>
          </w:tcPr>
          <w:p>
            <w:pPr>
              <w:spacing w:after="0"/>
              <w:rPr>
                <w:sz w:val="10"/>
                <w:szCs w:val="10"/>
                <w:color w:val="auto"/>
              </w:rPr>
            </w:pPr>
          </w:p>
        </w:tc>
      </w:tr>
      <w:tr>
        <w:trPr>
          <w:trHeight w:val="173"/>
        </w:trPr>
        <w:tc>
          <w:tcPr>
            <w:tcW w:w="77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(18,671 )   $</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(16,637 )</w:t>
            </w:r>
          </w:p>
        </w:tc>
      </w:tr>
      <w:tr>
        <w:trPr>
          <w:trHeight w:val="21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40" w:type="dxa"/>
            <w:vAlign w:val="bottom"/>
          </w:tcPr>
          <w:p>
            <w:pPr>
              <w:spacing w:after="0"/>
              <w:rPr>
                <w:sz w:val="18"/>
                <w:szCs w:val="18"/>
                <w:color w:val="auto"/>
              </w:rPr>
            </w:pPr>
          </w:p>
        </w:tc>
        <w:tc>
          <w:tcPr>
            <w:tcW w:w="16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(11,250 )</w:t>
            </w: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(71,170 )</w:t>
            </w:r>
          </w:p>
        </w:tc>
      </w:tr>
      <w:tr>
        <w:trPr>
          <w:trHeight w:val="21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88,333</w:t>
            </w:r>
          </w:p>
        </w:tc>
        <w:tc>
          <w:tcPr>
            <w:tcW w:w="100" w:type="dxa"/>
            <w:vAlign w:val="bottom"/>
            <w:shd w:val="clear" w:color="auto" w:fill="CFF0FC"/>
          </w:tcPr>
          <w:p>
            <w:pPr>
              <w:spacing w:after="0"/>
              <w:rPr>
                <w:sz w:val="18"/>
                <w:szCs w:val="18"/>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at end of period</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2,915</w:t>
            </w:r>
          </w:p>
        </w:tc>
        <w:tc>
          <w:tcPr>
            <w:tcW w:w="100" w:type="dxa"/>
            <w:vAlign w:val="bottom"/>
          </w:tcPr>
          <w:p>
            <w:pPr>
              <w:spacing w:after="0"/>
              <w:rPr>
                <w:sz w:val="20"/>
                <w:szCs w:val="20"/>
                <w:color w:val="auto"/>
              </w:rPr>
            </w:pPr>
          </w:p>
        </w:tc>
      </w:tr>
    </w:tbl>
    <w:p>
      <w:pPr>
        <w:spacing w:after="0" w:line="21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was $18.7 million for the 39 weeks ended November 2, 2024, compared to net cash used in operating activities was $16.6 million for the corresponding period of fiscal year 2023, an increase of approximately $2.1 million. The increase in our cash flows used in operating activities was primarily driven by reduced net income during the 39 weeks ended November 2, 2024 compared to the corresponding period of fiscal year 2023.</w:t>
      </w:r>
    </w:p>
    <w:p>
      <w:pPr>
        <w:spacing w:after="0" w:line="18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was $11.3 million for the 39 weeks ended November 2, 2024, compared to net cash used in investing activities was $71.2 million for the corresponding period of fiscal year 2023, a decrease of approximately $59.9 million, which was primarily driven by reduced capital expenditures related to the construction of new stores and the refurbishment of existing stores during the 39 weeks ended November 2, 2024 compared to the corresponding period of fiscal year 2023.</w:t>
      </w:r>
    </w:p>
    <w:p>
      <w:pPr>
        <w:spacing w:after="0" w:line="18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Net cash provided by financing activities was $29.4 million for the 39 weeks ended November 2, 2024, compared to net cash provided by financing activities was $88.3 million for the corresponding period of fiscal year 2023, a decrease of approximately $58.9 million. The decrease in cash provided by financing activities was primarily the result of decreased incremental borrowings under our revolving credit facility.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maintain a $350.0 million revolving credit facility, with $145.7 million outstanding as of November 2, 2024. Our revolving credit facility is governed by an amended and restated credit agreement with a consortium of banks led by Wells Fargo Bank, National Association (“Wells Fargo”). We additionally entered into a term loan credit facility on July 30, 2024 with an aggregate principal amount available of $45.0 million, with $25.0 million outstanding as of November 2, 2024. Borrowings under our revolving credit facility and term loan facility are subject to a borrowing base calculation. As of November 2, 2024, we had an aggregate amount of $148.1 million available for borrowing under our revolving credit facility and our term loan facility, calculated based upon certain borrowing base restrictions, and $2.0 million in stand-by commercial letters of credit.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Borrowings under the revolving credit facility bear interest based on either the base rate or Term SOFR (as defined by the credit agreement governing the revolving credit facility), at our option, in each case plus an applicable margin. The base rate is the greatest of (1) the floor rate (as defined in the credit agreement as a rate of interest equal to 0.0%) (2) Wells Fargo’s prime rate, (3) the federal funds rate (as defined in the applicable credit agreement) plus</w:t>
      </w:r>
    </w:p>
    <w:p>
      <w:pPr>
        <w:spacing w:after="0" w:line="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0.50% or (4) the one-month Term SOFR (as defined in the applicable credit agreement) plus 1.00%. The applicable margin for loans under the revolving credit facility, which varies based on the average daily availability, ranges from 0.25% to 0.50% per year for base rate loans and from 1.35% to 1.60% per year for Term SOFR loans. We are required to pay a commitment fee for the unused portion of the revolving credit facility, which will range from 0.20% to 0.225% per annum, depending on the average daily availability under the revolving credit facility.</w:t>
      </w:r>
    </w:p>
    <w:p>
      <w:pPr>
        <w:spacing w:after="0" w:line="18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Borrowings under the term loan facility bear interest at a rate equal to (i) a specified term secured overnight financing rate (SOFR), plus (ii) 0.10% as a SOFR adjustment, plus (iii) the applicable margin as specified in the Term Loan. The applicable margin means either 3.50% or 6.50% depending on the type of term loan. Under the Term Loan, loans may be required to be converted to base rate loans and in such case, the applicable margin rate will increase by 1.0%.</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Each of the subsidiaries of Holdings is a borrower under the revolving credit facility and the term loan, and all obligations under the revolving credit facility and the term loan are guaranteed by Holdings. All of the obligations under the revolving credit facility and the term loan are secured by a lien on substantially all of Holdings’ assets and assets of all of Holdings’ subsidiaries, including a pledge of all capital stock of each of Holdings’ subsidiaries. The lien securing the obligations under the revolving credit facility is a first priority lien as to certain liquid assets, including cash, accounts receivable, deposit accounts and inventory. The lien securing the obligations under the term loan facility is a first priority lien as to equipment, fixtures, intellectual property and equity interests.</w:t>
      </w:r>
    </w:p>
    <w:p>
      <w:pPr>
        <w:spacing w:after="0" w:line="186"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may be required to make mandatory prepayments under the revolving credit facility and the term loan in the event of a disposition of certain property or assets, in the event of receipt of certain insurance or condemnation proceeds, upon the issuance of certain debt or equity securities, upon the incurrence of certain indebtedness for borrowed money or upon the receipt of certain payments not received in the ordinary course of business.</w:t>
      </w:r>
    </w:p>
    <w:p>
      <w:pPr>
        <w:spacing w:after="0" w:line="17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Our revolving credit facility and term loan facility each require us to maintain a minimum availability at all times of not less than 10% of the gross borrowing base. In addition, the credit agreements governing each of our revolving credit facility and our term loan facility contain customary affirmative and negative covenants, including covenants that limit our ability to incur, create or assume certain indebtedness, to create, incur or assume certain liens, to make certain investments, to make sales, transfers and dispositions of certain property and to undergo certain fundamental changes, including certain mergers, liquidations and consolidations. The revolving credit facility and term loan facility also contain customary events of default, including defaults triggered by defaults under the other facility. As of November 2, 2024, we were in compliance with all covenants under the credit agreements governing each of our revolving credit facility and our term loan facility.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Our financial statements are prepared in accordance with accounting principles generally accepted in the United States of America (“GAAP”). In connection with the preparation of the financial statements, we are required to make assumptions, make estimates and apply judgment that affect the reported amounts of assets, liabilities, revenue, expenses and the related disclosures. We base our assumptions, estimates and judgments on historical experience, current trends and other factors that we believe to be relevant at the time the condensed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8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estimates as described in “Part II., Item 7., Management’s Discussion and Analysis of Financial Condition and Results of Operations” of our Fiscal 2023 Form 10-K.</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evaluating our business, we use Adjusted EBITDA and Adjusted EBITDA margin as supplemental measures of our operating performance. We define Adjusted EBITDA as net (loss) income plus interest expense (benefit), income tax expense (benefit), depreciation and amortization, stock-based compensation expense, transition and severance costs related to director and officer transitions, and other gains, losses and expenses that we do not believe are indicative of our ongoing expenses. Net loss is the most comparable GAAP financial measure to Adjusted EBITDA. We define Adjusted EBITDA margin as, for any period, the Adjusted EBITDA for that period divided by the net sales for that period. We consider Adjusted EBITDA and Adjusted EBITDA margin important supplemental measures of our operating performance and believe they are frequently used by analysts, investors and other interested parties in the evaluation of companies in our industry. Other companies in our industry, however, may calculate Adjusted EBITDA and Adjusted EBITDA margin differently than we do. Management also uses Adjusted EBITDA and Adjusted EBITDA margin as additional measurement tools for purposes of business decision-making, including evaluating store performance, developing budgets and managing expenditures. Management believes Adjusted EBITDA and Adjusted EBITDA margin allow investors to evaluate our operating performance and compare our results of operations from period to period on a consistent basis by excluding items that management does not believe are indicative of our core operating performance.</w:t>
      </w:r>
    </w:p>
    <w:p>
      <w:pPr>
        <w:spacing w:after="0" w:line="189"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Adjusted EBITDA is not defined under GAAP and is not a measure of operating income, operating performance or liquidity presented in accordance with GAAP. Adjusted EBITDA has limitations as an analytical tool, and when assessing our operating performance, you should not consider Adjusted EBITDA in isolation or as a substitute for net income or other condensed consolidated statement of operations data prepared in accordance with GAAP. Some of these limitations include, but are not limited to:</w:t>
      </w:r>
    </w:p>
    <w:p>
      <w:pPr>
        <w:spacing w:after="0" w:line="74"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cash expenditures or future requirements for capital expenditures or contractual commitments;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may be defined differently by other companies, and, therefore, it may not be directly comparable to the results of other companies in our industry;</w:t>
      </w:r>
    </w:p>
    <w:p>
      <w:pPr>
        <w:spacing w:after="0" w:line="54"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interest expense, or the cash requirements necessary to service interest or principal payments, on our debt;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income taxes or the cash requirements for any tax payments.</w:t>
      </w: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A reconciliation of net loss, to Adjusted EBITDA and a calculation of Adjusted EBITDA margin is set forth below for the periods presented (amounts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gridSpan w:val="5"/>
          </w:tcPr>
          <w:p>
            <w:pPr>
              <w:jc w:val="right"/>
              <w:ind w:right="13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260" w:type="dxa"/>
            <w:vAlign w:val="bottom"/>
          </w:tcPr>
          <w:p>
            <w:pPr>
              <w:spacing w:after="0"/>
              <w:rPr>
                <w:sz w:val="15"/>
                <w:szCs w:val="15"/>
                <w:color w:val="auto"/>
              </w:rPr>
            </w:pPr>
          </w:p>
        </w:tc>
        <w:tc>
          <w:tcPr>
            <w:tcW w:w="3480" w:type="dxa"/>
            <w:vAlign w:val="bottom"/>
            <w:gridSpan w:val="6"/>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Thirty-Nine Weeks Ended</w:t>
            </w:r>
          </w:p>
        </w:tc>
      </w:tr>
      <w:tr>
        <w:trPr>
          <w:trHeight w:val="117"/>
        </w:trPr>
        <w:tc>
          <w:tcPr>
            <w:tcW w:w="37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680" w:type="dxa"/>
            <w:vAlign w:val="bottom"/>
            <w:tcBorders>
              <w:top w:val="single" w:sz="8" w:color="auto"/>
            </w:tcBorders>
            <w:gridSpan w:val="2"/>
          </w:tcPr>
          <w:p>
            <w:pPr>
              <w:jc w:val="right"/>
              <w:ind w:right="74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54"/>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3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660" w:type="dxa"/>
            <w:vAlign w:val="bottom"/>
            <w:tcBorders>
              <w:top w:val="single" w:sz="8" w:color="auto"/>
            </w:tcBorders>
            <w:gridSpan w:val="2"/>
          </w:tcPr>
          <w:p>
            <w:pPr>
              <w:jc w:val="right"/>
              <w:ind w:right="720"/>
              <w:spacing w:after="0" w:line="117" w:lineRule="exact"/>
              <w:rPr>
                <w:sz w:val="20"/>
                <w:szCs w:val="20"/>
                <w:color w:val="auto"/>
              </w:rPr>
            </w:pPr>
            <w:r>
              <w:rPr>
                <w:rFonts w:ascii="Times New Roman" w:cs="Times New Roman" w:eastAsia="Times New Roman" w:hAnsi="Times New Roman"/>
                <w:sz w:val="13"/>
                <w:szCs w:val="13"/>
                <w:b w:val="1"/>
                <w:bCs w:val="1"/>
                <w:color w:val="auto"/>
              </w:rPr>
              <w:t>November 2,</w:t>
            </w:r>
          </w:p>
        </w:tc>
        <w:tc>
          <w:tcPr>
            <w:tcW w:w="28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373"/>
              <w:spacing w:after="0" w:line="117" w:lineRule="exact"/>
              <w:rPr>
                <w:sz w:val="20"/>
                <w:szCs w:val="20"/>
                <w:color w:val="auto"/>
              </w:rPr>
            </w:pPr>
            <w:r>
              <w:rPr>
                <w:rFonts w:ascii="Times New Roman" w:cs="Times New Roman" w:eastAsia="Times New Roman" w:hAnsi="Times New Roman"/>
                <w:sz w:val="13"/>
                <w:szCs w:val="13"/>
                <w:b w:val="1"/>
                <w:bCs w:val="1"/>
                <w:color w:val="auto"/>
              </w:rPr>
              <w:t>October 28,</w:t>
            </w:r>
          </w:p>
        </w:tc>
        <w:tc>
          <w:tcPr>
            <w:tcW w:w="200" w:type="dxa"/>
            <w:vAlign w:val="bottom"/>
            <w:gridSpan w:val="2"/>
          </w:tcPr>
          <w:p>
            <w:pPr>
              <w:spacing w:after="0"/>
              <w:rPr>
                <w:sz w:val="10"/>
                <w:szCs w:val="10"/>
                <w:color w:val="auto"/>
              </w:rPr>
            </w:pPr>
          </w:p>
        </w:tc>
      </w:tr>
      <w:tr>
        <w:trPr>
          <w:trHeight w:val="173"/>
        </w:trPr>
        <w:tc>
          <w:tcPr>
            <w:tcW w:w="3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60" w:type="dxa"/>
            <w:vAlign w:val="bottom"/>
            <w:gridSpan w:val="5"/>
          </w:tcPr>
          <w:p>
            <w:pPr>
              <w:jc w:val="right"/>
              <w:ind w:right="142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(364 )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(1,331 )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(24,336 )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(20,258 )</w:t>
            </w:r>
          </w:p>
        </w:tc>
        <w:tc>
          <w:tcPr>
            <w:tcW w:w="10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(7,364 )</w:t>
            </w: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(6,664 )</w:t>
            </w:r>
          </w:p>
        </w:tc>
        <w:tc>
          <w:tcPr>
            <w:tcW w:w="10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(1)</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officer transition costs (2)</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Cancelled contract (3)</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reduction plan (4)</w:t>
            </w:r>
          </w:p>
        </w:tc>
        <w:tc>
          <w:tcPr>
            <w:tcW w:w="280" w:type="dxa"/>
            <w:vAlign w:val="bottom"/>
          </w:tcPr>
          <w:p>
            <w:pPr>
              <w:spacing w:after="0"/>
              <w:rPr>
                <w:sz w:val="18"/>
                <w:szCs w:val="18"/>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Legal settlement (5)</w:t>
            </w:r>
          </w:p>
        </w:tc>
        <w:tc>
          <w:tcPr>
            <w:tcW w:w="2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3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30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15,052</w:t>
            </w:r>
          </w:p>
        </w:tc>
        <w:tc>
          <w:tcPr>
            <w:tcW w:w="3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19,319</w:t>
            </w:r>
          </w:p>
        </w:tc>
        <w:tc>
          <w:tcPr>
            <w:tcW w:w="100" w:type="dxa"/>
            <w:vAlign w:val="bottom"/>
            <w:tcBorders>
              <w:top w:val="single" w:sz="8" w:color="CFF0FC"/>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324,261</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340,569</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857,235</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917,593</w:t>
            </w: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margin</w:t>
            </w:r>
          </w:p>
        </w:tc>
        <w:tc>
          <w:tcPr>
            <w:tcW w:w="280" w:type="dxa"/>
            <w:vAlign w:val="bottom"/>
          </w:tcPr>
          <w:p>
            <w:pPr>
              <w:spacing w:after="0"/>
              <w:rPr>
                <w:sz w:val="18"/>
                <w:szCs w:val="18"/>
                <w:color w:val="auto"/>
              </w:rPr>
            </w:pPr>
          </w:p>
        </w:tc>
        <w:tc>
          <w:tcPr>
            <w:tcW w:w="1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(0.1 )%</w:t>
            </w:r>
          </w:p>
        </w:tc>
        <w:tc>
          <w:tcPr>
            <w:tcW w:w="280" w:type="dxa"/>
            <w:vAlign w:val="bottom"/>
          </w:tcPr>
          <w:p>
            <w:pPr>
              <w:spacing w:after="0"/>
              <w:rPr>
                <w:sz w:val="18"/>
                <w:szCs w:val="18"/>
                <w:color w:val="auto"/>
              </w:rPr>
            </w:pPr>
          </w:p>
        </w:tc>
        <w:tc>
          <w:tcPr>
            <w:tcW w:w="1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(0.4 )%</w:t>
            </w:r>
          </w:p>
        </w:tc>
        <w:tc>
          <w:tcPr>
            <w:tcW w:w="26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(2.8 )%</w:t>
            </w:r>
          </w:p>
        </w:tc>
        <w:tc>
          <w:tcPr>
            <w:tcW w:w="280" w:type="dxa"/>
            <w:vAlign w:val="bottom"/>
          </w:tcPr>
          <w:p>
            <w:pPr>
              <w:spacing w:after="0"/>
              <w:rPr>
                <w:sz w:val="18"/>
                <w:szCs w:val="18"/>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 (6)</w:t>
            </w:r>
          </w:p>
        </w:tc>
        <w:tc>
          <w:tcPr>
            <w:tcW w:w="280" w:type="dxa"/>
            <w:vAlign w:val="bottom"/>
          </w:tcPr>
          <w:p>
            <w:pPr>
              <w:spacing w:after="0"/>
              <w:rPr>
                <w:sz w:val="18"/>
                <w:szCs w:val="18"/>
                <w:color w:val="auto"/>
              </w:rPr>
            </w:pPr>
          </w:p>
        </w:tc>
        <w:tc>
          <w:tcPr>
            <w:tcW w:w="1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5.1 %</w:t>
            </w:r>
          </w:p>
        </w:tc>
        <w:tc>
          <w:tcPr>
            <w:tcW w:w="280" w:type="dxa"/>
            <w:vAlign w:val="bottom"/>
          </w:tcPr>
          <w:p>
            <w:pPr>
              <w:spacing w:after="0"/>
              <w:rPr>
                <w:sz w:val="18"/>
                <w:szCs w:val="18"/>
                <w:color w:val="auto"/>
              </w:rPr>
            </w:pPr>
          </w:p>
        </w:tc>
        <w:tc>
          <w:tcPr>
            <w:tcW w:w="1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1.8 %</w:t>
            </w:r>
          </w:p>
        </w:tc>
        <w:tc>
          <w:tcPr>
            <w:tcW w:w="28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-718820</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4637405</wp:posOffset>
            </wp:positionH>
            <wp:positionV relativeFrom="paragraph">
              <wp:posOffset>-718820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5853430</wp:posOffset>
            </wp:positionH>
            <wp:positionV relativeFrom="paragraph">
              <wp:posOffset>-718820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38061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2380615" cy="8255"/>
                    </a:xfrm>
                    <a:prstGeom prst="rect">
                      <a:avLst/>
                    </a:prstGeom>
                    <a:noFill/>
                  </pic:spPr>
                </pic:pic>
              </a:graphicData>
            </a:graphic>
          </wp:anchor>
        </w:drawing>
      </w:r>
    </w:p>
    <w:p>
      <w:pPr>
        <w:spacing w:after="0" w:line="150" w:lineRule="exact"/>
        <w:rPr>
          <w:sz w:val="20"/>
          <w:szCs w:val="20"/>
          <w:color w:val="auto"/>
        </w:rPr>
      </w:pPr>
    </w:p>
    <w:p>
      <w:pPr>
        <w:ind w:left="520" w:right="14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represents non-cash expenses related to equity instruments granted to employees under our equity incentive plan and employee stock purchase plan.</w:t>
      </w:r>
    </w:p>
    <w:p>
      <w:pPr>
        <w:spacing w:after="0" w:line="1" w:lineRule="exact"/>
        <w:rPr>
          <w:rFonts w:ascii="Times New Roman" w:cs="Times New Roman" w:eastAsia="Times New Roman" w:hAnsi="Times New Roman"/>
          <w:sz w:val="18"/>
          <w:szCs w:val="18"/>
          <w:color w:val="auto"/>
        </w:rPr>
      </w:pPr>
    </w:p>
    <w:p>
      <w:pPr>
        <w:ind w:left="520" w:right="420" w:hanging="512"/>
        <w:spacing w:after="0" w:line="25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relating to the departure of directors and officers and the recruitment of directors and key members of our senior management team.</w:t>
      </w: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fees and expenses related to a settlement in the cancellation of a contract related to our information technology systems.</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expenses paid as part of our cost reduction plan implemented during the 13 weeks ended July 29, 2023.</w:t>
      </w:r>
    </w:p>
    <w:p>
      <w:pPr>
        <w:spacing w:after="0" w:line="8"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costs related to legal settlements and related fees and expenses.</w:t>
      </w:r>
    </w:p>
    <w:p>
      <w:pPr>
        <w:spacing w:after="0" w:line="8" w:lineRule="exact"/>
        <w:rPr>
          <w:rFonts w:ascii="Times New Roman" w:cs="Times New Roman" w:eastAsia="Times New Roman" w:hAnsi="Times New Roman"/>
          <w:sz w:val="18"/>
          <w:szCs w:val="18"/>
          <w:color w:val="auto"/>
        </w:rPr>
      </w:pPr>
    </w:p>
    <w:p>
      <w:pPr>
        <w:ind w:left="520" w:right="340" w:hanging="512"/>
        <w:spacing w:after="0" w:line="260"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net income margin as net income divided by net sales and we define Adjusted EBITDA margin as Adjusted EBITDA divided by net sales.</w:t>
      </w:r>
    </w:p>
    <w:p>
      <w:pPr>
        <w:spacing w:after="0" w:line="3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8"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Our principal exposure to market risk relates to changes in interest rates. Borrowings under our revolving credit facility and our term loan carry floating interest rates tied to SOFR, the federal funds rate and the prime rate, and, therefore, our income and cash flows will be exposed to changes in interest rates to the extent that we do not have effective hedging arrangements in place. We historically have not used interest rate swap agreements to hedge the variable cash flows associated with the interest on our credit facilities. Based on a sensitivity analysis at November 2, 2024, assuming the amount outstanding under our revolving credit facility and term loan would be outstanding for a full year, a 100 basis point increase in interest rates would have increased our interest expense by $1.7 million. We do not use derivative financial instruments for speculative or trading purposes. However, this does not preclude our adoption of specific hedging strategies in the future.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Securities Exchange Act of 1934, as amended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our management, including our Chief Executive Officer and Chief Financial Officer, as appropriate, to allow for timely decisions regarding required disclosures. Our management has evaluated, under the supervision and with the participation of our Chief Executive Officer and Chief Financial Officer, the effectiveness of our disclosure controls and procedures (as defined in Rules 13a-15(e) and 15d-15(e) under the Exchange Act) as of the end of the period covered by this 10-Q. Based on that evaluation, our Chief Executive Officer and Chief Financial Officer have concluded that our disclosure controls and procedures were effective as of November 2,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in Effectiveness of Controls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13a-15(d) and 15d-15(d) under the Exchange Act) during the 13 weeks ended November 2, 2024 that have materially affected, or are reasonably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See Note 12, “Commitments and Contingencies” to our condensed consolidated financial statements for additional information, which is incorporated herein by reference.</w:t>
      </w:r>
    </w:p>
    <w:p>
      <w:pPr>
        <w:spacing w:after="0" w:line="5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pending lawsuit described in Note 12 of our unaudited interim consolidated financial statements is subject to inherent uncertainties, and the actual defense and disposition costs will depend upon unknown factors. The outcomes of the pending lawsuit are necessarily uncertain. We also could be forced to expend significant resources in the defense of the pending lawsuit, including substantial legal fees and costs.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Our business faces significant risks and uncertainties. Certain important factors may have a material adverse effect on our business prospects, financial condition and results of operations, and you should carefully consider them. There have been no material changes in our risk factors from those set forth in our Fiscal 2023 Form 10-K.</w:t>
      </w: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8"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76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36" w:lineRule="exact"/>
        <w:rPr>
          <w:sz w:val="20"/>
          <w:szCs w:val="20"/>
          <w:color w:val="auto"/>
        </w:rPr>
      </w:pPr>
    </w:p>
    <w:p>
      <w:pPr>
        <w:ind w:left="240"/>
        <w:spacing w:after="0"/>
        <w:tabs>
          <w:tab w:leader="none" w:pos="608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sectPr>
      </w:pPr>
    </w:p>
    <w:p>
      <w:pPr>
        <w:spacing w:after="0" w:line="3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3.1</w:t>
      </w:r>
    </w:p>
    <w:p>
      <w:pPr>
        <w:spacing w:after="0" w:line="200" w:lineRule="exact"/>
        <w:rPr>
          <w:sz w:val="20"/>
          <w:szCs w:val="20"/>
          <w:color w:val="auto"/>
        </w:rPr>
      </w:pPr>
    </w:p>
    <w:p>
      <w:pPr>
        <w:spacing w:after="0" w:line="2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3.2</w:t>
      </w:r>
    </w:p>
    <w:p>
      <w:pPr>
        <w:spacing w:after="0" w:line="3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31.1*</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31.2*</w:t>
      </w:r>
    </w:p>
    <w:p>
      <w:pPr>
        <w:spacing w:after="0" w:line="3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4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101.INS*</w:t>
      </w:r>
    </w:p>
    <w:p>
      <w:pPr>
        <w:spacing w:after="0" w:line="332"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101.SCH*</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330">
        <w:r>
          <w:rPr>
            <w:rFonts w:ascii="Times New Roman" w:cs="Times New Roman" w:eastAsia="Times New Roman" w:hAnsi="Times New Roman"/>
            <w:sz w:val="18"/>
            <w:szCs w:val="18"/>
            <w:u w:val="single" w:color="auto"/>
            <w:color w:val="0000FF"/>
          </w:rPr>
          <w:t>Amended and Restated Certificate of Incorporation of Sportsman’s Warehouse Holdings, Inc. (incorporated by reference to Exhibit</w:t>
        </w:r>
      </w:hyperlink>
      <w:r>
        <w:rPr>
          <w:rFonts w:ascii="Times New Roman" w:cs="Times New Roman" w:eastAsia="Times New Roman" w:hAnsi="Times New Roman"/>
          <w:sz w:val="18"/>
          <w:szCs w:val="18"/>
          <w:u w:val="single" w:color="auto"/>
          <w:color w:val="0000FF"/>
        </w:rPr>
        <w:t xml:space="preserve"> </w:t>
      </w:r>
      <w:hyperlink r:id="rId330">
        <w:r>
          <w:rPr>
            <w:rFonts w:ascii="Times New Roman" w:cs="Times New Roman" w:eastAsia="Times New Roman" w:hAnsi="Times New Roman"/>
            <w:sz w:val="18"/>
            <w:szCs w:val="18"/>
            <w:u w:val="single" w:color="auto"/>
            <w:color w:val="0000FF"/>
          </w:rPr>
          <w:t>3.1 to the Company’s Current Report on Form 8-K, filed with the SEC on June 8,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-295275</wp:posOffset>
            </wp:positionV>
            <wp:extent cx="7132320" cy="27368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43" w:lineRule="exact"/>
        <w:rPr>
          <w:sz w:val="20"/>
          <w:szCs w:val="20"/>
          <w:color w:val="auto"/>
        </w:rPr>
      </w:pPr>
    </w:p>
    <w:p>
      <w:pPr>
        <w:ind w:right="180"/>
        <w:spacing w:after="0" w:line="281" w:lineRule="auto"/>
        <w:rPr>
          <w:rFonts w:ascii="Times New Roman" w:cs="Times New Roman" w:eastAsia="Times New Roman" w:hAnsi="Times New Roman"/>
          <w:sz w:val="18"/>
          <w:szCs w:val="18"/>
          <w:u w:val="single" w:color="auto"/>
          <w:color w:val="0000FF"/>
        </w:rPr>
      </w:pPr>
      <w:hyperlink r:id="rId332">
        <w:r>
          <w:rPr>
            <w:rFonts w:ascii="Times New Roman" w:cs="Times New Roman" w:eastAsia="Times New Roman" w:hAnsi="Times New Roman"/>
            <w:sz w:val="18"/>
            <w:szCs w:val="18"/>
            <w:u w:val="single" w:color="auto"/>
            <w:color w:val="0000FF"/>
          </w:rPr>
          <w:t>Fourth Amended and Restated Bylaws of Sportsman’s Warehouse Holdings, Inc. (incorporated by reference to Exhibit 3.1 to the</w:t>
        </w:r>
      </w:hyperlink>
      <w:r>
        <w:rPr>
          <w:rFonts w:ascii="Times New Roman" w:cs="Times New Roman" w:eastAsia="Times New Roman" w:hAnsi="Times New Roman"/>
          <w:sz w:val="18"/>
          <w:szCs w:val="18"/>
          <w:u w:val="single" w:color="auto"/>
          <w:color w:val="0000FF"/>
        </w:rPr>
        <w:t xml:space="preserve"> </w:t>
      </w:r>
      <w:hyperlink r:id="rId332">
        <w:r>
          <w:rPr>
            <w:rFonts w:ascii="Times New Roman" w:cs="Times New Roman" w:eastAsia="Times New Roman" w:hAnsi="Times New Roman"/>
            <w:sz w:val="18"/>
            <w:szCs w:val="18"/>
            <w:u w:val="single" w:color="auto"/>
            <w:color w:val="0000FF"/>
          </w:rPr>
          <w:t>Current Report on Form 8-K, filed with the SEC on March 25,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-295275</wp:posOffset>
            </wp:positionV>
            <wp:extent cx="7132320" cy="27368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-119380</wp:posOffset>
            </wp:positionV>
            <wp:extent cx="7132320" cy="13716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-119380</wp:posOffset>
            </wp:positionV>
            <wp:extent cx="7132320" cy="13716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1350, as adopted by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-295275</wp:posOffset>
            </wp:positionV>
            <wp:extent cx="7132320" cy="27368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4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-295275</wp:posOffset>
            </wp:positionV>
            <wp:extent cx="7132320" cy="27368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32320" cy="273685"/>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-119380</wp:posOffset>
            </wp:positionV>
            <wp:extent cx="7132320" cy="13716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-1073785</wp:posOffset>
            </wp:positionH>
            <wp:positionV relativeFrom="paragraph">
              <wp:posOffset>-119380</wp:posOffset>
            </wp:positionV>
            <wp:extent cx="7132320" cy="13716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-1073785</wp:posOffset>
            </wp:positionH>
            <wp:positionV relativeFrom="paragraph">
              <wp:posOffset>154305</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120" w:space="580"/>
            <w:col w:w="9420"/>
          </w:cols>
          <w:pgMar w:left="320" w:top="768" w:right="459" w:bottom="1440" w:gutter="0" w:footer="0" w:header="0"/>
          <w:type w:val="continuous"/>
        </w:sectPr>
      </w:pPr>
    </w:p>
    <w:p>
      <w:pPr>
        <w:spacing w:after="0" w:line="249" w:lineRule="exact"/>
        <w:rPr>
          <w:sz w:val="20"/>
          <w:szCs w:val="20"/>
          <w:color w:val="auto"/>
        </w:rPr>
      </w:pPr>
    </w:p>
    <w:p>
      <w:pPr>
        <w:ind w:left="340" w:hanging="319"/>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768" w:right="45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096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8096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SPORTSMAN’S WAREHOUSE HOLDINGS, INC.</w:t>
      </w:r>
    </w:p>
    <w:p>
      <w:pPr>
        <w:spacing w:after="0" w:line="229"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December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17145</wp:posOffset>
            </wp:positionV>
            <wp:extent cx="327088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Paul Stone</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6" w:lineRule="exact"/>
        <w:rPr>
          <w:sz w:val="20"/>
          <w:szCs w:val="20"/>
          <w:color w:val="auto"/>
        </w:rPr>
      </w:pPr>
    </w:p>
    <w:p>
      <w:pPr>
        <w:ind w:left="20"/>
        <w:spacing w:after="0"/>
        <w:tabs>
          <w:tab w:leader="none" w:pos="5640" w:val="left"/>
          <w:tab w:leader="none" w:pos="8180" w:val="left"/>
        </w:tabs>
        <w:rPr>
          <w:sz w:val="20"/>
          <w:szCs w:val="20"/>
          <w:color w:val="auto"/>
        </w:rPr>
      </w:pPr>
      <w:r>
        <w:rPr>
          <w:rFonts w:ascii="Times New Roman" w:cs="Times New Roman" w:eastAsia="Times New Roman" w:hAnsi="Times New Roman"/>
          <w:sz w:val="18"/>
          <w:szCs w:val="18"/>
          <w:color w:val="auto"/>
        </w:rPr>
        <w:t>Date: December 11,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17145</wp:posOffset>
            </wp:positionV>
            <wp:extent cx="327088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327088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b w:val="1"/>
          <w:bCs w:val="1"/>
          <w:color w:val="auto"/>
        </w:rPr>
        <w:t>Jeff White</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8" w:right="37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3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Stone, certify that:</w:t>
      </w:r>
    </w:p>
    <w:p>
      <w:pPr>
        <w:spacing w:after="0" w:line="117"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right="2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2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40" w:hanging="503"/>
        <w:spacing w:after="0" w:line="265"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right="2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80" w:hanging="514"/>
        <w:spacing w:after="0" w:line="265"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100" w:hanging="503"/>
        <w:spacing w:after="0" w:line="312" w:lineRule="auto"/>
        <w:tabs>
          <w:tab w:leader="none" w:pos="10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4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20" w:hanging="514"/>
        <w:spacing w:after="0" w:line="281" w:lineRule="auto"/>
        <w:tabs>
          <w:tab w:leader="none" w:pos="15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38"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0174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3801745" cy="8255"/>
                    </a:xfrm>
                    <a:prstGeom prst="rect">
                      <a:avLst/>
                    </a:prstGeom>
                    <a:noFill/>
                  </pic:spPr>
                </pic:pic>
              </a:graphicData>
            </a:graphic>
          </wp:anchor>
        </w:drawing>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White, certify that:</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Sportsman’s Warehouse Holdings, Inc.;</w:t>
      </w:r>
    </w:p>
    <w:p>
      <w:pPr>
        <w:spacing w:after="0" w:line="116" w:lineRule="exact"/>
        <w:rPr>
          <w:rFonts w:ascii="Times New Roman" w:cs="Times New Roman" w:eastAsia="Times New Roman" w:hAnsi="Times New Roman"/>
          <w:sz w:val="18"/>
          <w:szCs w:val="18"/>
          <w:color w:val="auto"/>
        </w:rPr>
      </w:pPr>
    </w:p>
    <w:p>
      <w:pPr>
        <w:jc w:val="both"/>
        <w:ind w:left="10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1020" w:right="50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1" w:lineRule="exact"/>
        <w:rPr>
          <w:rFonts w:ascii="Times New Roman" w:cs="Times New Roman" w:eastAsia="Times New Roman" w:hAnsi="Times New Roman"/>
          <w:sz w:val="17"/>
          <w:szCs w:val="17"/>
          <w:color w:val="auto"/>
        </w:rPr>
      </w:pPr>
    </w:p>
    <w:p>
      <w:pPr>
        <w:ind w:left="1020" w:right="120" w:hanging="503"/>
        <w:spacing w:after="0" w:line="265"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1540" w:right="10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1540" w:right="1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ind w:left="154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Times New Roman" w:cs="Times New Roman" w:eastAsia="Times New Roman" w:hAnsi="Times New Roman"/>
          <w:sz w:val="18"/>
          <w:szCs w:val="18"/>
          <w:color w:val="auto"/>
        </w:rPr>
      </w:pPr>
    </w:p>
    <w:p>
      <w:pPr>
        <w:ind w:left="1540" w:right="360" w:hanging="514"/>
        <w:spacing w:after="0" w:line="265"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1020" w:right="80" w:hanging="503"/>
        <w:spacing w:after="0" w:line="312" w:lineRule="auto"/>
        <w:tabs>
          <w:tab w:leader="none" w:pos="10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540" w:right="22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1540" w:right="500" w:hanging="514"/>
        <w:spacing w:after="0" w:line="281" w:lineRule="auto"/>
        <w:tabs>
          <w:tab w:leader="none" w:pos="15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38"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46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1" w:lineRule="exact"/>
        <w:rPr>
          <w:sz w:val="20"/>
          <w:szCs w:val="20"/>
          <w:color w:val="auto"/>
        </w:rPr>
      </w:pPr>
    </w:p>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Jeff White</w:t>
      </w:r>
    </w:p>
    <w:p>
      <w:pPr>
        <w:jc w:val="center"/>
        <w:ind w:right="526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6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916940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0" w:right="3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AS ADOPTED</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PURSUANT TO SECTION 906 OF THE</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06" w:lineRule="exact"/>
        <w:rPr>
          <w:sz w:val="20"/>
          <w:szCs w:val="20"/>
          <w:color w:val="auto"/>
        </w:rPr>
      </w:pPr>
    </w:p>
    <w:p>
      <w:pPr>
        <w:ind w:right="300" w:firstLine="509"/>
        <w:spacing w:after="0" w:line="260" w:lineRule="auto"/>
        <w:rPr>
          <w:sz w:val="20"/>
          <w:szCs w:val="20"/>
          <w:color w:val="auto"/>
        </w:rPr>
      </w:pPr>
      <w:r>
        <w:rPr>
          <w:rFonts w:ascii="Times New Roman" w:cs="Times New Roman" w:eastAsia="Times New Roman" w:hAnsi="Times New Roman"/>
          <w:sz w:val="18"/>
          <w:szCs w:val="18"/>
          <w:color w:val="auto"/>
        </w:rPr>
        <w:t>In connection with the Quarterly Report on Form 10-Q of Sportsman’s Warehouse Holdings, Inc. (the “Registrant”) for the fiscal quarter ended November 2, 2024, as filed with the Securities and Exchange Commission on the date hereof (the “Report”), Paul Stone, President and Chief Executive Officer of the Registrant, and Jeff White, Chief Financial Officer and Secretary of the Registrant, hereby certify, pursuant to 18 U.S.C. Section 1350, as adopted pursuant to Section 906 of the Sarbanes-Oxley Act of 2002, that, to the best of their knowledge:</w:t>
      </w:r>
    </w:p>
    <w:p>
      <w:pPr>
        <w:spacing w:after="0" w:line="7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6" w:lineRule="exact"/>
        <w:rPr>
          <w:rFonts w:ascii="Times New Roman" w:cs="Times New Roman" w:eastAsia="Times New Roman" w:hAnsi="Times New Roman"/>
          <w:sz w:val="18"/>
          <w:szCs w:val="18"/>
          <w:color w:val="auto"/>
        </w:rPr>
      </w:pPr>
    </w:p>
    <w:p>
      <w:pPr>
        <w:ind w:left="1020" w:right="520" w:hanging="503"/>
        <w:spacing w:after="0" w:line="281"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38"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Paul 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46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Paul Stone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President and Chief Executive Officer</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2024</w:t>
      </w:r>
    </w:p>
    <w:p>
      <w:pPr>
        <w:spacing w:after="0" w:line="238"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8"/>
          <w:szCs w:val="18"/>
          <w:color w:val="auto"/>
        </w:rPr>
        <w:t>/s/ Jeff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78460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3784600" cy="8255"/>
                    </a:xfrm>
                    <a:prstGeom prst="rect">
                      <a:avLst/>
                    </a:prstGeom>
                    <a:noFill/>
                  </pic:spPr>
                </pic:pic>
              </a:graphicData>
            </a:graphic>
          </wp:anchor>
        </w:drawing>
      </w:r>
    </w:p>
    <w:p>
      <w:pPr>
        <w:spacing w:after="0" w:line="1" w:lineRule="exact"/>
        <w:rPr>
          <w:sz w:val="20"/>
          <w:szCs w:val="20"/>
          <w:color w:val="auto"/>
        </w:rPr>
      </w:pPr>
    </w:p>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Jeff White</w:t>
      </w:r>
    </w:p>
    <w:p>
      <w:pPr>
        <w:jc w:val="center"/>
        <w:ind w:right="5240"/>
        <w:spacing w:after="0" w:line="221" w:lineRule="auto"/>
        <w:rPr>
          <w:sz w:val="20"/>
          <w:szCs w:val="20"/>
          <w:color w:val="auto"/>
        </w:rPr>
      </w:pPr>
      <w:r>
        <w:rPr>
          <w:rFonts w:ascii="Times New Roman" w:cs="Times New Roman" w:eastAsia="Times New Roman" w:hAnsi="Times New Roman"/>
          <w:sz w:val="14"/>
          <w:szCs w:val="14"/>
          <w:i w:val="1"/>
          <w:iCs w:val="1"/>
          <w:color w:val="auto"/>
        </w:rPr>
        <w:t>Chief Financial Officer and Secretary</w:t>
      </w:r>
    </w:p>
    <w:p>
      <w:pPr>
        <w:jc w:val="center"/>
        <w:ind w:right="524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191"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8"/>
          <w:szCs w:val="18"/>
          <w:color w:val="auto"/>
        </w:rPr>
        <w:t>The foregoing certifications are being furnished pursuant to 18 U.S.C. Section 1350. They are not being filed for purposes of Section 18 of the Securities Exchange Act of 1934, as amended, and are not to be incorporated by reference into any filing of the Registrant,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770890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0" w:right="379" w:bottom="1440" w:gutter="0" w:footer="0" w:header="0"/>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2"/>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1"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30" Type="http://schemas.openxmlformats.org/officeDocument/2006/relationships/hyperlink" Target="https://www.sec.gov/Archives/edgar/data/1132105/000095017023026914/spwh-ex3_1.htm" TargetMode="External"/><Relationship Id="rId332" Type="http://schemas.openxmlformats.org/officeDocument/2006/relationships/hyperlink" Target="https://www.sec.gov/ix?doc=/Archives/edgar/data/1132105/000095017024041618/spwh-20240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2024-12-11T07:52:12Z</dcterms:created>
  <dcterms:modified xsi:type="dcterms:W3CDTF">2024-12-11T07:52:12Z</dcterms:modified>
</cp:coreProperties>
</file>