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53415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150"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65341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15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70485</wp:posOffset>
            </wp:positionV>
            <wp:extent cx="163385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3855" cy="1143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78740</wp:posOffset>
            </wp:positionV>
            <wp:extent cx="1633855"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3855" cy="11430"/>
                    </a:xfrm>
                    <a:prstGeom prst="rect">
                      <a:avLst/>
                    </a:prstGeom>
                    <a:noFill/>
                  </pic:spPr>
                </pic:pic>
              </a:graphicData>
            </a:graphic>
          </wp:anchor>
        </w:drawing>
      </w:r>
    </w:p>
    <w:p>
      <w:pPr>
        <w:spacing w:after="0" w:line="205" w:lineRule="exact"/>
        <w:rPr>
          <w:sz w:val="24"/>
          <w:szCs w:val="24"/>
          <w:color w:val="auto"/>
        </w:rPr>
      </w:pPr>
    </w:p>
    <w:p>
      <w:pPr>
        <w:ind w:left="1"/>
        <w:spacing w:after="0"/>
        <w:rPr>
          <w:sz w:val="20"/>
          <w:szCs w:val="20"/>
          <w:color w:val="auto"/>
        </w:rPr>
      </w:pPr>
      <w:r>
        <w:rPr>
          <w:rFonts w:ascii="Times New Roman" w:cs="Times New Roman" w:eastAsia="Times New Roman" w:hAnsi="Times New Roman"/>
          <w:sz w:val="11"/>
          <w:szCs w:val="11"/>
          <w:color w:val="auto"/>
        </w:rPr>
        <w:t>(Mark One)</w:t>
      </w:r>
    </w:p>
    <w:p>
      <w:pPr>
        <w:spacing w:after="0" w:line="16" w:lineRule="exact"/>
        <w:rPr>
          <w:sz w:val="24"/>
          <w:szCs w:val="24"/>
          <w:color w:val="auto"/>
        </w:rPr>
      </w:pPr>
    </w:p>
    <w:p>
      <w:pPr>
        <w:ind w:left="221" w:hanging="221"/>
        <w:spacing w:after="0"/>
        <w:tabs>
          <w:tab w:leader="none" w:pos="221"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quarterly period ended July 30, 2022</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48" w:lineRule="exact"/>
        <w:rPr>
          <w:sz w:val="24"/>
          <w:szCs w:val="24"/>
          <w:color w:val="auto"/>
        </w:rPr>
      </w:pPr>
    </w:p>
    <w:p>
      <w:pPr>
        <w:ind w:left="4261" w:right="4280" w:hanging="4261"/>
        <w:spacing w:after="0" w:line="364" w:lineRule="auto"/>
        <w:tabs>
          <w:tab w:leader="none" w:pos="211"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26035</wp:posOffset>
            </wp:positionV>
            <wp:extent cx="16338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3855" cy="5715"/>
                    </a:xfrm>
                    <a:prstGeom prst="rect">
                      <a:avLst/>
                    </a:prstGeom>
                    <a:noFill/>
                  </pic:spPr>
                </pic:pic>
              </a:graphicData>
            </a:graphic>
          </wp:anchor>
        </w:drawing>
      </w:r>
    </w:p>
    <w:p>
      <w:pPr>
        <w:spacing w:after="0" w:line="111" w:lineRule="exact"/>
        <w:rPr>
          <w:sz w:val="24"/>
          <w:szCs w:val="24"/>
          <w:color w:val="auto"/>
        </w:rPr>
      </w:pPr>
    </w:p>
    <w:tbl>
      <w:tblPr>
        <w:tblLayout w:type="fixed"/>
        <w:tblInd w:w="11" w:type="dxa"/>
        <w:tblCellMar>
          <w:top w:w="0" w:type="dxa"/>
          <w:left w:w="0" w:type="dxa"/>
          <w:bottom w:w="0" w:type="dxa"/>
          <w:right w:w="0" w:type="dxa"/>
        </w:tblCellMar>
      </w:tblPr>
      <w:tr>
        <w:trPr>
          <w:trHeight w:val="138"/>
        </w:trPr>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2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9"/>
              </w:rPr>
              <w:t>SPORTSMAN’S WAREHOUSE HOLDINGS, INC.</w:t>
            </w: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520" w:type="dxa"/>
            <w:vAlign w:val="bottom"/>
            <w:gridSpan w:val="2"/>
            <w:vMerge w:val="restart"/>
          </w:tcPr>
          <w:p>
            <w:pPr>
              <w:jc w:val="center"/>
              <w:ind w:left="158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340" w:type="dxa"/>
            <w:vAlign w:val="bottom"/>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420" w:type="dxa"/>
            <w:vAlign w:val="bottom"/>
            <w:vMerge w:val="restart"/>
          </w:tcPr>
          <w:p>
            <w:pPr>
              <w:jc w:val="right"/>
              <w:ind w:right="2165"/>
              <w:spacing w:after="0"/>
              <w:rPr>
                <w:sz w:val="20"/>
                <w:szCs w:val="20"/>
                <w:color w:val="auto"/>
              </w:rPr>
            </w:pPr>
            <w:r>
              <w:rPr>
                <w:rFonts w:ascii="Times New Roman" w:cs="Times New Roman" w:eastAsia="Times New Roman" w:hAnsi="Times New Roman"/>
                <w:sz w:val="11"/>
                <w:szCs w:val="11"/>
                <w:b w:val="1"/>
                <w:bCs w:val="1"/>
                <w:color w:val="auto"/>
              </w:rPr>
              <w:t>39-1975614</w:t>
            </w:r>
          </w:p>
        </w:tc>
        <w:tc>
          <w:tcPr>
            <w:tcW w:w="0" w:type="dxa"/>
            <w:vAlign w:val="bottom"/>
          </w:tcPr>
          <w:p>
            <w:pPr>
              <w:spacing w:after="0"/>
              <w:rPr>
                <w:sz w:val="1"/>
                <w:szCs w:val="1"/>
                <w:color w:val="auto"/>
              </w:rPr>
            </w:pPr>
          </w:p>
        </w:tc>
      </w:tr>
      <w:tr>
        <w:trPr>
          <w:trHeight w:val="208"/>
        </w:trPr>
        <w:tc>
          <w:tcPr>
            <w:tcW w:w="35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520" w:type="dxa"/>
            <w:vAlign w:val="bottom"/>
            <w:gridSpan w:val="2"/>
          </w:tcPr>
          <w:p>
            <w:pPr>
              <w:jc w:val="center"/>
              <w:ind w:left="1565"/>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3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20" w:type="dxa"/>
            <w:vAlign w:val="bottom"/>
          </w:tcPr>
          <w:p>
            <w:pPr>
              <w:jc w:val="center"/>
              <w:ind w:right="1485"/>
              <w:spacing w:after="0"/>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4"/>
        </w:trPr>
        <w:tc>
          <w:tcPr>
            <w:tcW w:w="3520" w:type="dxa"/>
            <w:vAlign w:val="bottom"/>
            <w:gridSpan w:val="2"/>
          </w:tcPr>
          <w:p>
            <w:pPr>
              <w:jc w:val="center"/>
              <w:ind w:left="1585"/>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3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jc w:val="center"/>
              <w:ind w:right="1465"/>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69"/>
        </w:trPr>
        <w:tc>
          <w:tcPr>
            <w:tcW w:w="6880" w:type="dxa"/>
            <w:vAlign w:val="bottom"/>
            <w:gridSpan w:val="5"/>
          </w:tcPr>
          <w:p>
            <w:pPr>
              <w:jc w:val="center"/>
              <w:ind w:right="1740"/>
              <w:spacing w:after="0"/>
              <w:rPr>
                <w:sz w:val="20"/>
                <w:szCs w:val="20"/>
                <w:color w:val="auto"/>
              </w:rPr>
            </w:pPr>
            <w:r>
              <w:rPr>
                <w:rFonts w:ascii="Times New Roman" w:cs="Times New Roman" w:eastAsia="Times New Roman" w:hAnsi="Times New Roman"/>
                <w:sz w:val="11"/>
                <w:szCs w:val="11"/>
                <w:b w:val="1"/>
                <w:bCs w:val="1"/>
                <w:color w:val="auto"/>
                <w:w w:val="99"/>
              </w:rPr>
              <w:t>1475 West 9000 South, Suite A, West Jordan, Utah</w:t>
            </w:r>
          </w:p>
        </w:tc>
        <w:tc>
          <w:tcPr>
            <w:tcW w:w="3420" w:type="dxa"/>
            <w:vAlign w:val="bottom"/>
          </w:tcPr>
          <w:p>
            <w:pPr>
              <w:jc w:val="right"/>
              <w:ind w:right="2285"/>
              <w:spacing w:after="0"/>
              <w:rPr>
                <w:sz w:val="20"/>
                <w:szCs w:val="20"/>
                <w:color w:val="auto"/>
              </w:rPr>
            </w:pPr>
            <w:r>
              <w:rPr>
                <w:rFonts w:ascii="Times New Roman" w:cs="Times New Roman" w:eastAsia="Times New Roman" w:hAnsi="Times New Roman"/>
                <w:sz w:val="11"/>
                <w:szCs w:val="11"/>
                <w:b w:val="1"/>
                <w:bCs w:val="1"/>
                <w:color w:val="auto"/>
              </w:rPr>
              <w:t>84088</w:t>
            </w:r>
          </w:p>
        </w:tc>
        <w:tc>
          <w:tcPr>
            <w:tcW w:w="0" w:type="dxa"/>
            <w:vAlign w:val="bottom"/>
          </w:tcPr>
          <w:p>
            <w:pPr>
              <w:spacing w:after="0"/>
              <w:rPr>
                <w:sz w:val="1"/>
                <w:szCs w:val="1"/>
                <w:color w:val="auto"/>
              </w:rPr>
            </w:pPr>
          </w:p>
        </w:tc>
      </w:tr>
      <w:tr>
        <w:trPr>
          <w:trHeight w:val="144"/>
        </w:trPr>
        <w:tc>
          <w:tcPr>
            <w:tcW w:w="3520" w:type="dxa"/>
            <w:vAlign w:val="bottom"/>
            <w:gridSpan w:val="2"/>
          </w:tcPr>
          <w:p>
            <w:pPr>
              <w:jc w:val="center"/>
              <w:ind w:left="1565"/>
              <w:spacing w:after="0"/>
              <w:rPr>
                <w:sz w:val="20"/>
                <w:szCs w:val="20"/>
                <w:color w:val="auto"/>
              </w:rPr>
            </w:pPr>
            <w:r>
              <w:rPr>
                <w:rFonts w:ascii="Times New Roman" w:cs="Times New Roman" w:eastAsia="Times New Roman" w:hAnsi="Times New Roman"/>
                <w:sz w:val="11"/>
                <w:szCs w:val="11"/>
                <w:b w:val="1"/>
                <w:bCs w:val="1"/>
                <w:color w:val="auto"/>
                <w:w w:val="99"/>
              </w:rPr>
              <w:t>(Address of principal executive offices)</w:t>
            </w:r>
          </w:p>
        </w:tc>
        <w:tc>
          <w:tcPr>
            <w:tcW w:w="3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jc w:val="center"/>
              <w:ind w:right="1485"/>
              <w:spacing w:after="0"/>
              <w:rPr>
                <w:sz w:val="20"/>
                <w:szCs w:val="20"/>
                <w:color w:val="auto"/>
              </w:rPr>
            </w:pPr>
            <w:r>
              <w:rPr>
                <w:rFonts w:ascii="Times New Roman" w:cs="Times New Roman" w:eastAsia="Times New Roman" w:hAnsi="Times New Roman"/>
                <w:sz w:val="11"/>
                <w:szCs w:val="11"/>
                <w:b w:val="1"/>
                <w:bCs w:val="1"/>
                <w:color w:val="auto"/>
                <w:w w:val="99"/>
              </w:rPr>
              <w:t>(Zip code)</w:t>
            </w:r>
          </w:p>
        </w:tc>
        <w:tc>
          <w:tcPr>
            <w:tcW w:w="0" w:type="dxa"/>
            <w:vAlign w:val="bottom"/>
          </w:tcPr>
          <w:p>
            <w:pPr>
              <w:spacing w:after="0"/>
              <w:rPr>
                <w:sz w:val="1"/>
                <w:szCs w:val="1"/>
                <w:color w:val="auto"/>
              </w:rPr>
            </w:pPr>
          </w:p>
        </w:tc>
      </w:tr>
      <w:tr>
        <w:trPr>
          <w:trHeight w:val="276"/>
        </w:trPr>
        <w:tc>
          <w:tcPr>
            <w:tcW w:w="3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Registrant’s telephone number, including area code: (801) 566-6681</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3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20" w:type="dxa"/>
            <w:vAlign w:val="bottom"/>
            <w:tcBorders>
              <w:bottom w:val="single" w:sz="8" w:color="auto"/>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Trading Symbol(s)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27"/>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Common stock, $.01 par value</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20" w:type="dxa"/>
            <w:vAlign w:val="bottom"/>
            <w:tcBorders>
              <w:bottom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1"/>
                <w:szCs w:val="11"/>
                <w:color w:val="auto"/>
                <w:w w:val="98"/>
              </w:rPr>
              <w:t>SPWH</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1" w:right="320" w:firstLine="300"/>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21" w:lineRule="exact"/>
        <w:rPr>
          <w:sz w:val="24"/>
          <w:szCs w:val="24"/>
          <w:color w:val="auto"/>
        </w:rPr>
      </w:pPr>
    </w:p>
    <w:p>
      <w:pPr>
        <w:ind w:left="1" w:right="360" w:firstLine="300"/>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21" w:lineRule="exact"/>
        <w:rPr>
          <w:sz w:val="24"/>
          <w:szCs w:val="24"/>
          <w:color w:val="auto"/>
        </w:rPr>
      </w:pPr>
    </w:p>
    <w:p>
      <w:pPr>
        <w:ind w:left="1" w:right="20" w:firstLine="300"/>
        <w:spacing w:after="0" w:line="29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 w:type="dxa"/>
        <w:tblCellMar>
          <w:top w:w="0" w:type="dxa"/>
          <w:left w:w="0" w:type="dxa"/>
          <w:bottom w:w="0" w:type="dxa"/>
          <w:right w:w="0" w:type="dxa"/>
        </w:tblCellMar>
      </w:tblPr>
      <w:tr>
        <w:trPr>
          <w:trHeight w:val="172"/>
        </w:trPr>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240" w:type="dxa"/>
            <w:vAlign w:val="bottom"/>
          </w:tcPr>
          <w:p>
            <w:pPr>
              <w:ind w:left="42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720"/>
              <w:spacing w:after="0"/>
              <w:rPr>
                <w:sz w:val="20"/>
                <w:szCs w:val="20"/>
                <w:color w:val="auto"/>
              </w:rPr>
            </w:pPr>
            <w:r>
              <w:rPr>
                <w:rFonts w:ascii="Times New Roman" w:cs="Times New Roman" w:eastAsia="Times New Roman" w:hAnsi="Times New Roman"/>
                <w:sz w:val="11"/>
                <w:szCs w:val="11"/>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6"/>
        </w:trPr>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240" w:type="dxa"/>
            <w:vAlign w:val="bottom"/>
          </w:tcPr>
          <w:p>
            <w:pPr>
              <w:ind w:left="42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7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6"/>
        </w:trPr>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240" w:type="dxa"/>
            <w:vAlign w:val="bottom"/>
          </w:tcPr>
          <w:p>
            <w:pPr>
              <w:ind w:left="42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121" w:lineRule="exact"/>
        <w:rPr>
          <w:sz w:val="24"/>
          <w:szCs w:val="24"/>
          <w:color w:val="auto"/>
        </w:rPr>
      </w:pPr>
    </w:p>
    <w:p>
      <w:pPr>
        <w:ind w:left="301" w:right="8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03" w:lineRule="exact"/>
        <w:rPr>
          <w:sz w:val="24"/>
          <w:szCs w:val="24"/>
          <w:color w:val="auto"/>
        </w:rPr>
      </w:pPr>
    </w:p>
    <w:p>
      <w:pPr>
        <w:ind w:left="301"/>
        <w:spacing w:after="0" w:line="127" w:lineRule="exact"/>
        <w:tabs>
          <w:tab w:leader="none" w:pos="5401" w:val="left"/>
          <w:tab w:leader="none" w:pos="5821"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342" w:lineRule="exact"/>
        <w:rPr>
          <w:sz w:val="24"/>
          <w:szCs w:val="24"/>
          <w:color w:val="auto"/>
        </w:rPr>
      </w:pPr>
    </w:p>
    <w:p>
      <w:pPr>
        <w:ind w:left="301"/>
        <w:spacing w:after="0"/>
        <w:rPr>
          <w:sz w:val="20"/>
          <w:szCs w:val="20"/>
          <w:color w:val="auto"/>
        </w:rPr>
      </w:pPr>
      <w:r>
        <w:rPr>
          <w:rFonts w:ascii="Times New Roman" w:cs="Times New Roman" w:eastAsia="Times New Roman" w:hAnsi="Times New Roman"/>
          <w:sz w:val="11"/>
          <w:szCs w:val="11"/>
          <w:color w:val="auto"/>
        </w:rPr>
        <w:t>As of September 2, 2022, the registrant had 38,868,040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653415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15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653415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4150"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65341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150" cy="5715"/>
                    </a:xfrm>
                    <a:prstGeom prst="rect">
                      <a:avLst/>
                    </a:prstGeom>
                    <a:noFill/>
                  </pic:spPr>
                </pic:pic>
              </a:graphicData>
            </a:graphic>
          </wp:anchor>
        </w:drawing>
      </w:r>
    </w:p>
    <w:p>
      <w:pPr>
        <w:sectPr>
          <w:pgSz w:w="11900" w:h="16838" w:orient="portrait"/>
          <w:cols w:equalWidth="0" w:num="1">
            <w:col w:w="10301"/>
          </w:cols>
          <w:pgMar w:left="799" w:top="494" w:right="7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SPORTSMAN’S WAREHOUSE HOLDINGS, INC.</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2100" w:type="dxa"/>
            <w:vAlign w:val="bottom"/>
            <w:gridSpan w:val="10"/>
            <w:vMerge w:val="restart"/>
          </w:tcPr>
          <w:p>
            <w:pPr>
              <w:spacing w:after="0"/>
              <w:rPr>
                <w:sz w:val="20"/>
                <w:szCs w:val="20"/>
                <w:color w:val="auto"/>
              </w:rPr>
            </w:pPr>
            <w:r>
              <w:rPr>
                <w:rFonts w:ascii="Times New Roman" w:cs="Times New Roman" w:eastAsia="Times New Roman" w:hAnsi="Times New Roman"/>
                <w:sz w:val="12"/>
                <w:szCs w:val="12"/>
                <w:b w:val="1"/>
                <w:bCs w:val="1"/>
                <w:color w:val="0000EE"/>
              </w:rPr>
              <w:t>PART I. FINANCIAL INFORMATION</w:t>
            </w:r>
          </w:p>
        </w:tc>
        <w:tc>
          <w:tcPr>
            <w:tcW w:w="6020" w:type="dxa"/>
            <w:vAlign w:val="bottom"/>
            <w:gridSpan w:val="10"/>
            <w:vMerge w:val="restart"/>
          </w:tcPr>
          <w:p>
            <w:pPr>
              <w:spacing w:after="0"/>
              <w:rPr>
                <w:sz w:val="10"/>
                <w:szCs w:val="10"/>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04"/>
        </w:trPr>
        <w:tc>
          <w:tcPr>
            <w:tcW w:w="2100" w:type="dxa"/>
            <w:vAlign w:val="bottom"/>
            <w:tcBorders>
              <w:bottom w:val="single" w:sz="8" w:color="0000EE"/>
            </w:tcBorders>
            <w:gridSpan w:val="10"/>
            <w:vMerge w:val="continue"/>
          </w:tcPr>
          <w:p>
            <w:pPr>
              <w:spacing w:after="0"/>
              <w:rPr>
                <w:sz w:val="8"/>
                <w:szCs w:val="8"/>
                <w:color w:val="auto"/>
              </w:rPr>
            </w:pPr>
          </w:p>
        </w:tc>
        <w:tc>
          <w:tcPr>
            <w:tcW w:w="6020" w:type="dxa"/>
            <w:vAlign w:val="bottom"/>
            <w:gridSpan w:val="10"/>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0000EE"/>
                <w:w w:val="99"/>
              </w:rPr>
              <w:t>Item 1.</w:t>
            </w:r>
          </w:p>
        </w:tc>
        <w:tc>
          <w:tcPr>
            <w:tcW w:w="300" w:type="dxa"/>
            <w:vAlign w:val="bottom"/>
            <w:gridSpan w:val="2"/>
          </w:tcPr>
          <w:p>
            <w:pPr>
              <w:spacing w:after="0"/>
              <w:rPr>
                <w:sz w:val="24"/>
                <w:szCs w:val="24"/>
                <w:color w:val="auto"/>
              </w:rPr>
            </w:pPr>
          </w:p>
        </w:tc>
        <w:tc>
          <w:tcPr>
            <w:tcW w:w="746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Financial Statements (unaudited)</w:t>
            </w:r>
            <w:r>
              <w:rPr>
                <w:rFonts w:ascii="Times New Roman" w:cs="Times New Roman" w:eastAsia="Times New Roman" w:hAnsi="Times New Roman"/>
                <w:sz w:val="12"/>
                <w:szCs w:val="12"/>
                <w:color w:val="00000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0000EE"/>
              </w:rPr>
              <w:t>Condensed Consolidated Balance Sheets</w:t>
            </w:r>
          </w:p>
        </w:tc>
        <w:tc>
          <w:tcPr>
            <w:tcW w:w="5460" w:type="dxa"/>
            <w:vAlign w:val="bottom"/>
            <w:gridSpan w:val="8"/>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74"/>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6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Condensed Consolidated Statements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2"/>
                <w:szCs w:val="12"/>
                <w:color w:val="0000EE"/>
              </w:rPr>
              <w:t>Condensed Consolidated Statements of Stockholders’ Equity</w:t>
            </w:r>
          </w:p>
        </w:tc>
        <w:tc>
          <w:tcPr>
            <w:tcW w:w="4460" w:type="dxa"/>
            <w:vAlign w:val="bottom"/>
            <w:gridSpan w:val="2"/>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74"/>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6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Condensed Consolidated Statements of Cash Flows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2"/>
                <w:szCs w:val="12"/>
                <w:color w:val="0000EE"/>
              </w:rPr>
              <w:t>Notes to Condensed Consolidated Financial Statements</w:t>
            </w:r>
          </w:p>
        </w:tc>
        <w:tc>
          <w:tcPr>
            <w:tcW w:w="4740" w:type="dxa"/>
            <w:vAlign w:val="bottom"/>
            <w:gridSpan w:val="5"/>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274"/>
        </w:trPr>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Item 2.</w:t>
            </w:r>
          </w:p>
        </w:tc>
        <w:tc>
          <w:tcPr>
            <w:tcW w:w="300" w:type="dxa"/>
            <w:vAlign w:val="bottom"/>
            <w:gridSpan w:val="2"/>
          </w:tcPr>
          <w:p>
            <w:pPr>
              <w:spacing w:after="0"/>
              <w:rPr>
                <w:sz w:val="23"/>
                <w:szCs w:val="23"/>
                <w:color w:val="auto"/>
              </w:rPr>
            </w:pPr>
          </w:p>
        </w:tc>
        <w:tc>
          <w:tcPr>
            <w:tcW w:w="4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30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274"/>
        </w:trPr>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Item 3.</w:t>
            </w:r>
          </w:p>
        </w:tc>
        <w:tc>
          <w:tcPr>
            <w:tcW w:w="300" w:type="dxa"/>
            <w:vAlign w:val="bottom"/>
            <w:gridSpan w:val="2"/>
          </w:tcPr>
          <w:p>
            <w:pPr>
              <w:spacing w:after="0"/>
              <w:rPr>
                <w:sz w:val="23"/>
                <w:szCs w:val="23"/>
                <w:color w:val="auto"/>
              </w:rPr>
            </w:pPr>
          </w:p>
        </w:tc>
        <w:tc>
          <w:tcPr>
            <w:tcW w:w="2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4480" w:type="dxa"/>
            <w:vAlign w:val="bottom"/>
            <w:gridSpan w:val="3"/>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27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0000EE"/>
                <w:w w:val="99"/>
              </w:rPr>
              <w:t>Item 4.</w:t>
            </w:r>
          </w:p>
        </w:tc>
        <w:tc>
          <w:tcPr>
            <w:tcW w:w="300" w:type="dxa"/>
            <w:vAlign w:val="bottom"/>
            <w:gridSpan w:val="2"/>
          </w:tcPr>
          <w:p>
            <w:pPr>
              <w:spacing w:after="0"/>
              <w:rPr>
                <w:sz w:val="23"/>
                <w:szCs w:val="23"/>
                <w:color w:val="auto"/>
              </w:rPr>
            </w:pPr>
          </w:p>
        </w:tc>
        <w:tc>
          <w:tcPr>
            <w:tcW w:w="746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120" w:type="dxa"/>
            <w:vAlign w:val="bottom"/>
            <w:gridSpan w:val="20"/>
          </w:tcPr>
          <w:p>
            <w:pPr>
              <w:spacing w:after="0"/>
              <w:rPr>
                <w:sz w:val="20"/>
                <w:szCs w:val="20"/>
                <w:color w:val="auto"/>
              </w:rPr>
            </w:pPr>
            <w:r>
              <w:rPr>
                <w:rFonts w:ascii="Times New Roman" w:cs="Times New Roman" w:eastAsia="Times New Roman" w:hAnsi="Times New Roman"/>
                <w:sz w:val="12"/>
                <w:szCs w:val="12"/>
                <w:b w:val="1"/>
                <w:bCs w:val="1"/>
                <w:color w:val="0000EE"/>
              </w:rPr>
              <w:t>PART II. OTHER INFORMATION</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Item 1.</w:t>
            </w:r>
          </w:p>
        </w:tc>
        <w:tc>
          <w:tcPr>
            <w:tcW w:w="300" w:type="dxa"/>
            <w:vAlign w:val="bottom"/>
            <w:tcBorders>
              <w:top w:val="single" w:sz="8" w:color="0000EE"/>
            </w:tcBorders>
            <w:gridSpan w:val="2"/>
          </w:tcPr>
          <w:p>
            <w:pPr>
              <w:spacing w:after="0"/>
              <w:rPr>
                <w:sz w:val="23"/>
                <w:szCs w:val="23"/>
                <w:color w:val="auto"/>
              </w:rPr>
            </w:pPr>
          </w:p>
        </w:tc>
        <w:tc>
          <w:tcPr>
            <w:tcW w:w="1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rPr>
              <w:t>Legal Proceedings</w:t>
            </w:r>
          </w:p>
        </w:tc>
        <w:tc>
          <w:tcPr>
            <w:tcW w:w="6240" w:type="dxa"/>
            <w:vAlign w:val="bottom"/>
            <w:gridSpan w:val="11"/>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Item 1A.</w:t>
            </w:r>
          </w:p>
        </w:tc>
        <w:tc>
          <w:tcPr>
            <w:tcW w:w="746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Item 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2"/>
                <w:szCs w:val="12"/>
                <w:color w:val="0000EE"/>
              </w:rPr>
              <w:t>Unregistered Sales of Equity Securities and Use of Proceeds</w:t>
            </w:r>
          </w:p>
        </w:tc>
        <w:tc>
          <w:tcPr>
            <w:tcW w:w="4500" w:type="dxa"/>
            <w:vAlign w:val="bottom"/>
            <w:gridSpan w:val="4"/>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7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0000EE"/>
                <w:w w:val="99"/>
              </w:rPr>
              <w:t>Item 6.</w:t>
            </w:r>
          </w:p>
        </w:tc>
        <w:tc>
          <w:tcPr>
            <w:tcW w:w="300" w:type="dxa"/>
            <w:vAlign w:val="bottom"/>
            <w:gridSpan w:val="2"/>
          </w:tcPr>
          <w:p>
            <w:pPr>
              <w:spacing w:after="0"/>
              <w:rPr>
                <w:sz w:val="23"/>
                <w:szCs w:val="23"/>
                <w:color w:val="auto"/>
              </w:rPr>
            </w:pPr>
          </w:p>
        </w:tc>
        <w:tc>
          <w:tcPr>
            <w:tcW w:w="746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8"/>
              </w:rPr>
              <w:t>Signatures</w:t>
            </w:r>
          </w:p>
        </w:tc>
        <w:tc>
          <w:tcPr>
            <w:tcW w:w="6940" w:type="dxa"/>
            <w:vAlign w:val="bottom"/>
            <w:gridSpan w:val="15"/>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right="99"/>
        <w:spacing w:after="0" w:line="274" w:lineRule="auto"/>
        <w:rPr>
          <w:sz w:val="20"/>
          <w:szCs w:val="20"/>
          <w:color w:val="auto"/>
        </w:rPr>
      </w:pPr>
      <w:r>
        <w:rPr>
          <w:rFonts w:ascii="Times New Roman" w:cs="Times New Roman" w:eastAsia="Times New Roman" w:hAnsi="Times New Roman"/>
          <w:sz w:val="12"/>
          <w:szCs w:val="12"/>
          <w:color w:val="auto"/>
        </w:rPr>
        <w:t>We operate on a fiscal calendar that, in a given fiscal year, consists of the 52- or 53-week period ending on the Saturday closest to January 31st. Our second fiscal quarters ended July 30, 2022 and July 31, 2021 both consisted of 13 weeks and are referred to herein as the second quarter of fiscal year 2022 and the second quarter of fiscal year 2021 respectively. Fiscal year 2022 contains 52 weeks of operations and will end on January 28, 2023. Fiscal year 2021 contained 52 weeks of operations and ended on January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314960</wp:posOffset>
            </wp:positionV>
            <wp:extent cx="5694045" cy="17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right="499"/>
        <w:spacing w:after="0" w:line="295" w:lineRule="auto"/>
        <w:rPr>
          <w:sz w:val="20"/>
          <w:szCs w:val="20"/>
          <w:color w:val="auto"/>
        </w:rPr>
      </w:pPr>
      <w:r>
        <w:rPr>
          <w:rFonts w:ascii="Times New Roman" w:cs="Times New Roman" w:eastAsia="Times New Roman" w:hAnsi="Times New Roman"/>
          <w:sz w:val="12"/>
          <w:szCs w:val="12"/>
          <w:b w:val="1"/>
          <w:bCs w:val="1"/>
          <w:color w:val="auto"/>
        </w:rPr>
        <w:t>References throughout this document to “Sportsman’s Warehouse,” “we,” “us,” and “our” refer to Sportsman’s Warehouse Holdings, Inc. and its subsidiaries, and references to “Holdings” refer to Sportsman’s Warehouse Holdings, Inc. excluding its subsidiaries.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STATEMENT REGARDING FORWARD-LOOKING STATEMENTS</w:t>
      </w:r>
    </w:p>
    <w:p>
      <w:pPr>
        <w:spacing w:after="0" w:line="110" w:lineRule="exact"/>
        <w:rPr>
          <w:sz w:val="20"/>
          <w:szCs w:val="20"/>
          <w:color w:val="auto"/>
        </w:rPr>
      </w:pPr>
    </w:p>
    <w:p>
      <w:pPr>
        <w:ind w:left="20" w:right="39"/>
        <w:spacing w:after="0" w:line="262" w:lineRule="auto"/>
        <w:rPr>
          <w:sz w:val="20"/>
          <w:szCs w:val="20"/>
          <w:color w:val="auto"/>
        </w:rPr>
      </w:pPr>
      <w:r>
        <w:rPr>
          <w:rFonts w:ascii="Times New Roman" w:cs="Times New Roman" w:eastAsia="Times New Roman" w:hAnsi="Times New Roman"/>
          <w:sz w:val="12"/>
          <w:szCs w:val="12"/>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76" w:lineRule="exact"/>
        <w:rPr>
          <w:sz w:val="20"/>
          <w:szCs w:val="20"/>
          <w:color w:val="auto"/>
        </w:rPr>
      </w:pPr>
    </w:p>
    <w:p>
      <w:pPr>
        <w:ind w:left="20" w:right="139"/>
        <w:spacing w:after="0" w:line="269" w:lineRule="auto"/>
        <w:rPr>
          <w:sz w:val="20"/>
          <w:szCs w:val="20"/>
          <w:color w:val="auto"/>
        </w:rPr>
      </w:pPr>
      <w:r>
        <w:rPr>
          <w:rFonts w:ascii="Times New Roman" w:cs="Times New Roman" w:eastAsia="Times New Roman" w:hAnsi="Times New Roman"/>
          <w:sz w:val="12"/>
          <w:szCs w:val="12"/>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0" w:lineRule="exact"/>
        <w:rPr>
          <w:sz w:val="20"/>
          <w:szCs w:val="20"/>
          <w:color w:val="auto"/>
        </w:rPr>
      </w:pPr>
    </w:p>
    <w:p>
      <w:pPr>
        <w:ind w:left="20" w:right="159"/>
        <w:spacing w:after="0" w:line="295" w:lineRule="auto"/>
        <w:rPr>
          <w:sz w:val="20"/>
          <w:szCs w:val="20"/>
          <w:color w:val="auto"/>
        </w:rPr>
      </w:pPr>
      <w:r>
        <w:rPr>
          <w:rFonts w:ascii="Times New Roman" w:cs="Times New Roman" w:eastAsia="Times New Roman" w:hAnsi="Times New Roman"/>
          <w:sz w:val="12"/>
          <w:szCs w:val="12"/>
          <w:i w:val="1"/>
          <w:iCs w:val="1"/>
          <w:color w:val="auto"/>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p>
      <w:pPr>
        <w:spacing w:after="0" w:line="129" w:lineRule="exact"/>
        <w:rPr>
          <w:sz w:val="20"/>
          <w:szCs w:val="20"/>
          <w:color w:val="auto"/>
        </w:rPr>
      </w:pPr>
    </w:p>
    <w:p>
      <w:pPr>
        <w:ind w:left="560" w:right="279" w:hanging="225"/>
        <w:spacing w:after="0" w:line="295"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28" w:lineRule="exact"/>
        <w:rPr>
          <w:rFonts w:ascii="Times New Roman" w:cs="Times New Roman" w:eastAsia="Times New Roman" w:hAnsi="Times New Roman"/>
          <w:sz w:val="12"/>
          <w:szCs w:val="12"/>
          <w:color w:val="auto"/>
        </w:rPr>
      </w:pPr>
    </w:p>
    <w:p>
      <w:pPr>
        <w:ind w:left="560" w:right="99" w:hanging="225"/>
        <w:spacing w:after="0" w:line="295"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retail-based business model which is impacted by general economic and market conditions and economic, market and financial uncertainties that may cause a decline in consumer spending;</w:t>
      </w:r>
    </w:p>
    <w:p>
      <w:pPr>
        <w:spacing w:after="0" w:line="28" w:lineRule="exact"/>
        <w:rPr>
          <w:rFonts w:ascii="Times New Roman" w:cs="Times New Roman" w:eastAsia="Times New Roman" w:hAnsi="Times New Roman"/>
          <w:sz w:val="12"/>
          <w:szCs w:val="12"/>
          <w:color w:val="auto"/>
        </w:rPr>
      </w:pPr>
    </w:p>
    <w:p>
      <w:pPr>
        <w:ind w:left="560" w:right="539" w:hanging="225"/>
        <w:spacing w:after="0" w:line="295"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concentration of stores in the Western United States which makes us susceptible to adverse conditions in this region, and could affect our sales and cause our operating results to suffer;</w:t>
      </w:r>
    </w:p>
    <w:p>
      <w:pPr>
        <w:spacing w:after="0" w:line="28"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highly fragmented and competitive industry in which we operate and the potential for increased competition;</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changes in consumer demands, including regional preferences, which we may not be able to identify and respond to in a timely manner;</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our entrance into new markets or operations in existing markets, which may not be successful; and</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impact of COVID-19 pandemic on our operations.</w:t>
      </w:r>
    </w:p>
    <w:p>
      <w:pPr>
        <w:spacing w:after="0" w:line="110" w:lineRule="exact"/>
        <w:rPr>
          <w:sz w:val="20"/>
          <w:szCs w:val="20"/>
          <w:color w:val="auto"/>
        </w:rPr>
      </w:pPr>
    </w:p>
    <w:p>
      <w:pPr>
        <w:ind w:left="20" w:right="79"/>
        <w:spacing w:after="0" w:line="263" w:lineRule="auto"/>
        <w:rPr>
          <w:sz w:val="20"/>
          <w:szCs w:val="20"/>
          <w:color w:val="auto"/>
        </w:rPr>
      </w:pPr>
      <w:r>
        <w:rPr>
          <w:rFonts w:ascii="Times New Roman" w:cs="Times New Roman" w:eastAsia="Times New Roman" w:hAnsi="Times New Roman"/>
          <w:sz w:val="12"/>
          <w:szCs w:val="12"/>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January 29, 2022 and “Item 2. Management’s Discussion and Analysis of Financial Condition and Results of Operations” and elsewhere in this 10-Q, as such disclosures may be amended, supplemented or superseded from time to time by other reports we file with the Securities and Exchange Commission, including subsequent Annual Reports on Form 10-K and Quarterly Reports on Form 10-Q, and public communications. You should evaluate all forward-looking statements made in this 10-Q and otherwise in the context of these risks and uncertainties.</w:t>
      </w:r>
    </w:p>
    <w:p>
      <w:pPr>
        <w:spacing w:after="0" w:line="122" w:lineRule="exact"/>
        <w:rPr>
          <w:sz w:val="20"/>
          <w:szCs w:val="20"/>
          <w:color w:val="auto"/>
        </w:rPr>
      </w:pPr>
    </w:p>
    <w:p>
      <w:pPr>
        <w:ind w:left="20" w:right="99"/>
        <w:spacing w:after="0" w:line="295" w:lineRule="auto"/>
        <w:rPr>
          <w:sz w:val="20"/>
          <w:szCs w:val="20"/>
          <w:color w:val="auto"/>
        </w:rPr>
      </w:pPr>
      <w:r>
        <w:rPr>
          <w:rFonts w:ascii="Times New Roman" w:cs="Times New Roman" w:eastAsia="Times New Roman" w:hAnsi="Times New Roman"/>
          <w:sz w:val="12"/>
          <w:szCs w:val="12"/>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right="99"/>
        <w:spacing w:after="0" w:line="295" w:lineRule="auto"/>
        <w:rPr>
          <w:sz w:val="20"/>
          <w:szCs w:val="20"/>
          <w:color w:val="auto"/>
        </w:rPr>
      </w:pPr>
      <w:r>
        <w:rPr>
          <w:rFonts w:ascii="Times New Roman" w:cs="Times New Roman" w:eastAsia="Times New Roman" w:hAnsi="Times New Roman"/>
          <w:sz w:val="12"/>
          <w:szCs w:val="12"/>
          <w:i w:val="1"/>
          <w:iCs w:val="1"/>
          <w:color w:val="auto"/>
        </w:rPr>
        <w:t>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SPORTSMAN’S WAREHOUSE HOLDINGS,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205"/>
              <w:spacing w:after="0"/>
              <w:rPr>
                <w:sz w:val="20"/>
                <w:szCs w:val="20"/>
                <w:color w:val="auto"/>
              </w:rPr>
            </w:pPr>
            <w:r>
              <w:rPr>
                <w:rFonts w:ascii="Times New Roman" w:cs="Times New Roman" w:eastAsia="Times New Roman" w:hAnsi="Times New Roman"/>
                <w:sz w:val="10"/>
                <w:szCs w:val="10"/>
                <w:b w:val="1"/>
                <w:bCs w:val="1"/>
                <w:color w:val="auto"/>
              </w:rPr>
              <w:t>January 29,</w:t>
            </w:r>
          </w:p>
        </w:tc>
      </w:tr>
      <w:tr>
        <w:trPr>
          <w:trHeight w:val="118"/>
        </w:trPr>
        <w:tc>
          <w:tcPr>
            <w:tcW w:w="64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7"/>
        </w:trPr>
        <w:tc>
          <w:tcPr>
            <w:tcW w:w="6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6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assets:</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0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6,018</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57,018</w:t>
            </w:r>
          </w:p>
        </w:tc>
      </w:tr>
      <w:tr>
        <w:trPr>
          <w:trHeight w:val="138"/>
        </w:trPr>
        <w:tc>
          <w:tcPr>
            <w:tcW w:w="6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 net</w:t>
            </w:r>
          </w:p>
        </w:tc>
        <w:tc>
          <w:tcPr>
            <w:tcW w:w="9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w:t>
            </w:r>
          </w:p>
        </w:tc>
      </w:tr>
      <w:tr>
        <w:trPr>
          <w:trHeight w:val="13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Merchandise inventories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437,382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386,560</w:t>
            </w:r>
          </w:p>
        </w:tc>
      </w:tr>
      <w:tr>
        <w:trPr>
          <w:trHeight w:val="138"/>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Prepaid expenses and other</w:t>
            </w: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20,855</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21,955</w:t>
            </w:r>
          </w:p>
        </w:tc>
      </w:tr>
      <w:tr>
        <w:trPr>
          <w:trHeight w:val="127"/>
        </w:trPr>
        <w:tc>
          <w:tcPr>
            <w:tcW w:w="64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current assets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466,166</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467,470</w:t>
            </w:r>
          </w:p>
        </w:tc>
      </w:tr>
      <w:tr>
        <w:trPr>
          <w:trHeight w:val="138"/>
        </w:trPr>
        <w:tc>
          <w:tcPr>
            <w:tcW w:w="640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right of use asset</w:t>
            </w:r>
          </w:p>
        </w:tc>
        <w:tc>
          <w:tcPr>
            <w:tcW w:w="9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250,936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243,047</w:t>
            </w:r>
          </w:p>
        </w:tc>
      </w:tr>
      <w:tr>
        <w:trPr>
          <w:trHeight w:val="13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137,152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128,304</w:t>
            </w:r>
          </w:p>
        </w:tc>
      </w:tr>
      <w:tr>
        <w:trPr>
          <w:trHeight w:val="138"/>
        </w:trPr>
        <w:tc>
          <w:tcPr>
            <w:tcW w:w="640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9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w:t>
            </w:r>
          </w:p>
        </w:tc>
      </w:tr>
      <w:tr>
        <w:trPr>
          <w:trHeight w:val="13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Definite lived intangibles, net</w:t>
            </w:r>
          </w:p>
        </w:tc>
        <w:tc>
          <w:tcPr>
            <w:tcW w:w="9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w:t>
            </w:r>
          </w:p>
        </w:tc>
      </w:tr>
      <w:tr>
        <w:trPr>
          <w:trHeight w:val="135"/>
        </w:trPr>
        <w:tc>
          <w:tcPr>
            <w:tcW w:w="6400" w:type="dxa"/>
            <w:vAlign w:val="bottom"/>
            <w:tcBorders>
              <w:bottom w:val="single" w:sz="8" w:color="CCEEFF"/>
            </w:tcBorders>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assets</w:t>
            </w:r>
          </w:p>
        </w:tc>
        <w:tc>
          <w:tcPr>
            <w:tcW w:w="90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856,169</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840,581</w:t>
            </w:r>
          </w:p>
        </w:tc>
      </w:tr>
      <w:tr>
        <w:trPr>
          <w:trHeight w:val="138"/>
        </w:trPr>
        <w:tc>
          <w:tcPr>
            <w:tcW w:w="6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6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6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900" w:type="dxa"/>
            <w:vAlign w:val="bottom"/>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98,845</w:t>
            </w:r>
          </w:p>
        </w:tc>
        <w:tc>
          <w:tcPr>
            <w:tcW w:w="18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58,916</w:t>
            </w:r>
          </w:p>
        </w:tc>
      </w:tr>
      <w:tr>
        <w:trPr>
          <w:trHeight w:val="13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expenses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91,040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109,012</w:t>
            </w:r>
          </w:p>
        </w:tc>
      </w:tr>
      <w:tr>
        <w:trPr>
          <w:trHeight w:val="138"/>
        </w:trPr>
        <w:tc>
          <w:tcPr>
            <w:tcW w:w="6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taxes payable</w:t>
            </w:r>
          </w:p>
        </w:tc>
        <w:tc>
          <w:tcPr>
            <w:tcW w:w="9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w:t>
            </w:r>
          </w:p>
        </w:tc>
      </w:tr>
      <w:tr>
        <w:trPr>
          <w:trHeight w:val="13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Operating lease liability, current</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42,195</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40,924</w:t>
            </w:r>
          </w:p>
        </w:tc>
      </w:tr>
      <w:tr>
        <w:trPr>
          <w:trHeight w:val="138"/>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Revolving line of credit</w:t>
            </w: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90,780</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66,054</w:t>
            </w:r>
          </w:p>
        </w:tc>
      </w:tr>
      <w:tr>
        <w:trPr>
          <w:trHeight w:val="127"/>
        </w:trPr>
        <w:tc>
          <w:tcPr>
            <w:tcW w:w="64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current liabilities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327,712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284,406</w:t>
            </w:r>
          </w:p>
        </w:tc>
      </w:tr>
      <w:tr>
        <w:trPr>
          <w:trHeight w:val="138"/>
        </w:trPr>
        <w:tc>
          <w:tcPr>
            <w:tcW w:w="6400" w:type="dxa"/>
            <w:vAlign w:val="bottom"/>
          </w:tcPr>
          <w:p>
            <w:pPr>
              <w:spacing w:after="0"/>
              <w:rPr>
                <w:sz w:val="20"/>
                <w:szCs w:val="20"/>
                <w:color w:val="auto"/>
              </w:rPr>
            </w:pPr>
            <w:r>
              <w:rPr>
                <w:rFonts w:ascii="Times New Roman" w:cs="Times New Roman" w:eastAsia="Times New Roman" w:hAnsi="Times New Roman"/>
                <w:sz w:val="11"/>
                <w:szCs w:val="11"/>
                <w:color w:val="auto"/>
              </w:rPr>
              <w:t>Long-term liabilities:</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Deferred income taxes</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5,009</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5,779</w:t>
            </w:r>
          </w:p>
        </w:tc>
      </w:tr>
      <w:tr>
        <w:trPr>
          <w:trHeight w:val="138"/>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Operating lease liability, noncurrent</w:t>
            </w: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243,596</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236,227</w:t>
            </w:r>
          </w:p>
        </w:tc>
      </w:tr>
      <w:tr>
        <w:trPr>
          <w:trHeight w:val="127"/>
        </w:trPr>
        <w:tc>
          <w:tcPr>
            <w:tcW w:w="64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long-term liabilities</w:t>
            </w:r>
          </w:p>
        </w:tc>
        <w:tc>
          <w:tcPr>
            <w:tcW w:w="9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248,605</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242,006</w:t>
            </w:r>
          </w:p>
        </w:tc>
      </w:tr>
      <w:tr>
        <w:trPr>
          <w:trHeight w:val="127"/>
        </w:trPr>
        <w:tc>
          <w:tcPr>
            <w:tcW w:w="6400" w:type="dxa"/>
            <w:vAlign w:val="bottom"/>
            <w:tcBorders>
              <w:bottom w:val="single" w:sz="8" w:color="CCEEFF"/>
            </w:tcBorders>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liabilities</w:t>
            </w: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576,317</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526,412</w:t>
            </w:r>
          </w:p>
        </w:tc>
      </w:tr>
      <w:tr>
        <w:trPr>
          <w:trHeight w:val="127"/>
        </w:trPr>
        <w:tc>
          <w:tcPr>
            <w:tcW w:w="6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6400" w:type="dxa"/>
            <w:vAlign w:val="bottom"/>
          </w:tcPr>
          <w:p>
            <w:pPr>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6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stock, $.01 par value; 20,000 shares authorized; 0 shares issued and outstanding</w:t>
            </w:r>
          </w:p>
        </w:tc>
        <w:tc>
          <w:tcPr>
            <w:tcW w:w="90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$.01 par value; 100,000 shares authorized; 44,215 issued and 38,867 outstanding on July 30, 2022 and 43,880</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7"/>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shares issued and outstanding on January 29, 2022</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r>
      <w:tr>
        <w:trPr>
          <w:trHeight w:val="138"/>
        </w:trPr>
        <w:tc>
          <w:tcPr>
            <w:tcW w:w="6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Treasury stock, at cost; 5,348 and 0 shares, respectively</w:t>
            </w:r>
          </w:p>
        </w:tc>
        <w:tc>
          <w:tcPr>
            <w:tcW w:w="9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(52,057)</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8"/>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91,976</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90,851</w:t>
            </w:r>
          </w:p>
        </w:tc>
      </w:tr>
      <w:tr>
        <w:trPr>
          <w:trHeight w:val="138"/>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Accumulated earnings</w:t>
            </w: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239,491</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222,879</w:t>
            </w:r>
          </w:p>
        </w:tc>
      </w:tr>
      <w:tr>
        <w:trPr>
          <w:trHeight w:val="127"/>
        </w:trPr>
        <w:tc>
          <w:tcPr>
            <w:tcW w:w="64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stockholders' equity</w:t>
            </w:r>
          </w:p>
        </w:tc>
        <w:tc>
          <w:tcPr>
            <w:tcW w:w="9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279,852</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314,169</w:t>
            </w:r>
          </w:p>
        </w:tc>
      </w:tr>
      <w:tr>
        <w:trPr>
          <w:trHeight w:val="135"/>
        </w:trPr>
        <w:tc>
          <w:tcPr>
            <w:tcW w:w="640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liabilities and stockholders' equity</w:t>
            </w:r>
          </w:p>
        </w:tc>
        <w:tc>
          <w:tcPr>
            <w:tcW w:w="90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856,169</w:t>
            </w:r>
          </w:p>
        </w:tc>
        <w:tc>
          <w:tcPr>
            <w:tcW w:w="180" w:type="dxa"/>
            <w:vAlign w:val="bottom"/>
          </w:tcPr>
          <w:p>
            <w:pPr>
              <w:spacing w:after="0"/>
              <w:rPr>
                <w:sz w:val="11"/>
                <w:szCs w:val="11"/>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840,581</w:t>
            </w: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SPORTSMAN'S WAREHOUSE HOLDINGS,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4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60" w:type="dxa"/>
            <w:vAlign w:val="bottom"/>
          </w:tcPr>
          <w:p>
            <w:pPr>
              <w:spacing w:after="0"/>
              <w:rPr>
                <w:sz w:val="11"/>
                <w:szCs w:val="11"/>
                <w:color w:val="auto"/>
              </w:rPr>
            </w:pPr>
          </w:p>
        </w:tc>
      </w:tr>
      <w:tr>
        <w:trPr>
          <w:trHeight w:val="127"/>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16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18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16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147"/>
        </w:trPr>
        <w:tc>
          <w:tcPr>
            <w:tcW w:w="4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14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351,021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361,778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660,526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688,770</w:t>
            </w:r>
          </w:p>
        </w:tc>
        <w:tc>
          <w:tcPr>
            <w:tcW w:w="160" w:type="dxa"/>
            <w:vAlign w:val="bottom"/>
            <w:shd w:val="clear" w:color="auto" w:fill="CCEEFF"/>
          </w:tcPr>
          <w:p>
            <w:pPr>
              <w:spacing w:after="0"/>
              <w:rPr>
                <w:sz w:val="12"/>
                <w:szCs w:val="12"/>
                <w:color w:val="auto"/>
              </w:rPr>
            </w:pPr>
          </w:p>
        </w:tc>
      </w:tr>
      <w:tr>
        <w:trPr>
          <w:trHeight w:val="147"/>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233,482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241,724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443,896</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464,669</w:t>
            </w:r>
          </w:p>
        </w:tc>
        <w:tc>
          <w:tcPr>
            <w:tcW w:w="160" w:type="dxa"/>
            <w:vAlign w:val="bottom"/>
            <w:tcBorders>
              <w:bottom w:val="single" w:sz="8" w:color="CCEEFF"/>
            </w:tcBorders>
          </w:tcPr>
          <w:p>
            <w:pPr>
              <w:spacing w:after="0"/>
              <w:rPr>
                <w:sz w:val="12"/>
                <w:szCs w:val="12"/>
                <w:color w:val="auto"/>
              </w:rPr>
            </w:pPr>
          </w:p>
        </w:tc>
      </w:tr>
      <w:tr>
        <w:trPr>
          <w:trHeight w:val="136"/>
        </w:trPr>
        <w:tc>
          <w:tcPr>
            <w:tcW w:w="4820" w:type="dxa"/>
            <w:vAlign w:val="bottom"/>
            <w:shd w:val="clear" w:color="auto" w:fill="CCEEFF"/>
          </w:tcPr>
          <w:p>
            <w:pPr>
              <w:ind w:left="80"/>
              <w:spacing w:after="0" w:line="136" w:lineRule="exact"/>
              <w:rPr>
                <w:sz w:val="20"/>
                <w:szCs w:val="20"/>
                <w:color w:val="auto"/>
              </w:rPr>
            </w:pPr>
            <w:r>
              <w:rPr>
                <w:rFonts w:ascii="Times New Roman" w:cs="Times New Roman" w:eastAsia="Times New Roman" w:hAnsi="Times New Roman"/>
                <w:sz w:val="12"/>
                <w:szCs w:val="12"/>
                <w:color w:val="auto"/>
              </w:rPr>
              <w:t>Gross profit</w:t>
            </w:r>
          </w:p>
        </w:tc>
        <w:tc>
          <w:tcPr>
            <w:tcW w:w="1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117,539</w:t>
            </w:r>
          </w:p>
        </w:tc>
        <w:tc>
          <w:tcPr>
            <w:tcW w:w="1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120,054</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216,630</w:t>
            </w:r>
          </w:p>
        </w:tc>
        <w:tc>
          <w:tcPr>
            <w:tcW w:w="1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224,101</w:t>
            </w:r>
          </w:p>
        </w:tc>
        <w:tc>
          <w:tcPr>
            <w:tcW w:w="160" w:type="dxa"/>
            <w:vAlign w:val="bottom"/>
            <w:shd w:val="clear" w:color="auto" w:fill="CCEEFF"/>
          </w:tcPr>
          <w:p>
            <w:pPr>
              <w:spacing w:after="0"/>
              <w:rPr>
                <w:sz w:val="11"/>
                <w:szCs w:val="11"/>
                <w:color w:val="auto"/>
              </w:rPr>
            </w:pPr>
          </w:p>
        </w:tc>
      </w:tr>
      <w:tr>
        <w:trPr>
          <w:trHeight w:val="136"/>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97,023</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95,870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193,108</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186,289</w:t>
            </w:r>
          </w:p>
        </w:tc>
        <w:tc>
          <w:tcPr>
            <w:tcW w:w="160" w:type="dxa"/>
            <w:vAlign w:val="bottom"/>
            <w:shd w:val="clear" w:color="auto" w:fill="CCEEFF"/>
          </w:tcPr>
          <w:p>
            <w:pPr>
              <w:spacing w:after="0"/>
              <w:rPr>
                <w:sz w:val="12"/>
                <w:szCs w:val="12"/>
                <w:color w:val="auto"/>
              </w:rPr>
            </w:pPr>
          </w:p>
        </w:tc>
      </w:tr>
      <w:tr>
        <w:trPr>
          <w:trHeight w:val="136"/>
        </w:trPr>
        <w:tc>
          <w:tcPr>
            <w:tcW w:w="482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auto"/>
              </w:rPr>
              <w:t>Income from operations</w:t>
            </w:r>
          </w:p>
        </w:tc>
        <w:tc>
          <w:tcPr>
            <w:tcW w:w="1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20,516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24,184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23,522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37,812</w:t>
            </w:r>
          </w:p>
        </w:tc>
        <w:tc>
          <w:tcPr>
            <w:tcW w:w="160" w:type="dxa"/>
            <w:vAlign w:val="bottom"/>
          </w:tcPr>
          <w:p>
            <w:pPr>
              <w:spacing w:after="0"/>
              <w:rPr>
                <w:sz w:val="11"/>
                <w:szCs w:val="11"/>
                <w:color w:val="auto"/>
              </w:rPr>
            </w:pPr>
          </w:p>
        </w:tc>
      </w:tr>
      <w:tr>
        <w:trPr>
          <w:trHeight w:val="14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160" w:type="dxa"/>
            <w:vAlign w:val="bottom"/>
            <w:shd w:val="clear" w:color="auto" w:fill="CCEEFF"/>
          </w:tcPr>
          <w:p>
            <w:pPr>
              <w:spacing w:after="0"/>
              <w:rPr>
                <w:sz w:val="12"/>
                <w:szCs w:val="12"/>
                <w:color w:val="auto"/>
              </w:rPr>
            </w:pPr>
          </w:p>
        </w:tc>
      </w:tr>
      <w:tr>
        <w:trPr>
          <w:trHeight w:val="136"/>
        </w:trPr>
        <w:tc>
          <w:tcPr>
            <w:tcW w:w="482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auto"/>
              </w:rPr>
              <w:t>Income before income taxes</w:t>
            </w:r>
          </w:p>
        </w:tc>
        <w:tc>
          <w:tcPr>
            <w:tcW w:w="1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19,749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23,918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22,188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37,320</w:t>
            </w:r>
          </w:p>
        </w:tc>
        <w:tc>
          <w:tcPr>
            <w:tcW w:w="160" w:type="dxa"/>
            <w:vAlign w:val="bottom"/>
          </w:tcPr>
          <w:p>
            <w:pPr>
              <w:spacing w:after="0"/>
              <w:rPr>
                <w:sz w:val="11"/>
                <w:szCs w:val="11"/>
                <w:color w:val="auto"/>
              </w:rPr>
            </w:pPr>
          </w:p>
        </w:tc>
      </w:tr>
      <w:tr>
        <w:trPr>
          <w:trHeight w:val="14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5,135</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5,576</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9,147</w:t>
            </w:r>
          </w:p>
        </w:tc>
        <w:tc>
          <w:tcPr>
            <w:tcW w:w="160" w:type="dxa"/>
            <w:vAlign w:val="bottom"/>
            <w:shd w:val="clear" w:color="auto" w:fill="CCEEFF"/>
          </w:tcPr>
          <w:p>
            <w:pPr>
              <w:spacing w:after="0"/>
              <w:rPr>
                <w:sz w:val="12"/>
                <w:szCs w:val="12"/>
                <w:color w:val="auto"/>
              </w:rPr>
            </w:pPr>
          </w:p>
        </w:tc>
      </w:tr>
      <w:tr>
        <w:trPr>
          <w:trHeight w:val="144"/>
        </w:trPr>
        <w:tc>
          <w:tcPr>
            <w:tcW w:w="4820" w:type="dxa"/>
            <w:vAlign w:val="bottom"/>
            <w:tcBorders>
              <w:bottom w:val="single" w:sz="8" w:color="CCEEFF"/>
            </w:tcBorders>
          </w:tcPr>
          <w:p>
            <w:pPr>
              <w:ind w:left="80"/>
              <w:spacing w:after="0" w:line="136"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14,614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17,723</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16,612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28,173</w:t>
            </w:r>
          </w:p>
        </w:tc>
        <w:tc>
          <w:tcPr>
            <w:tcW w:w="160" w:type="dxa"/>
            <w:vAlign w:val="bottom"/>
            <w:tcBorders>
              <w:bottom w:val="single" w:sz="8" w:color="CCEEFF"/>
            </w:tcBorders>
          </w:tcPr>
          <w:p>
            <w:pPr>
              <w:spacing w:after="0"/>
              <w:rPr>
                <w:sz w:val="12"/>
                <w:szCs w:val="12"/>
                <w:color w:val="auto"/>
              </w:rPr>
            </w:pPr>
          </w:p>
        </w:tc>
      </w:tr>
      <w:tr>
        <w:trPr>
          <w:trHeight w:val="14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share:</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5"/>
        </w:trPr>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0.64</w:t>
            </w:r>
          </w:p>
        </w:tc>
        <w:tc>
          <w:tcPr>
            <w:tcW w:w="160" w:type="dxa"/>
            <w:vAlign w:val="bottom"/>
            <w:tcBorders>
              <w:bottom w:val="single" w:sz="8" w:color="CCEEFF"/>
            </w:tcBorders>
          </w:tcPr>
          <w:p>
            <w:pPr>
              <w:spacing w:after="0"/>
              <w:rPr>
                <w:sz w:val="13"/>
                <w:szCs w:val="13"/>
                <w:color w:val="auto"/>
              </w:rPr>
            </w:pPr>
          </w:p>
        </w:tc>
      </w:tr>
      <w:tr>
        <w:trPr>
          <w:trHeight w:val="167"/>
        </w:trPr>
        <w:tc>
          <w:tcPr>
            <w:tcW w:w="48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34"/>
        </w:trPr>
        <w:tc>
          <w:tcPr>
            <w:tcW w:w="482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Weighted average shares outstanding:</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7"/>
        </w:trPr>
        <w:tc>
          <w:tcPr>
            <w:tcW w:w="48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41,962</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43,860</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42,950</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43,775</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42"/>
        </w:trPr>
        <w:tc>
          <w:tcPr>
            <w:tcW w:w="482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Diluted</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42,194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44,716</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43,180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44,600</w:t>
            </w:r>
          </w:p>
        </w:tc>
        <w:tc>
          <w:tcPr>
            <w:tcW w:w="160" w:type="dxa"/>
            <w:vAlign w:val="bottom"/>
          </w:tcPr>
          <w:p>
            <w:pPr>
              <w:spacing w:after="0"/>
              <w:rPr>
                <w:sz w:val="12"/>
                <w:szCs w:val="12"/>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SPORTSMAN'S WAREHOUSE HOLDINGS,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Thirteen Weeks Ended July 30, 2022 and July 31, 2021</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88"/>
        </w:trPr>
        <w:tc>
          <w:tcPr>
            <w:tcW w:w="20" w:type="dxa"/>
            <w:vAlign w:val="bottom"/>
          </w:tcPr>
          <w:p>
            <w:pPr>
              <w:spacing w:after="0"/>
              <w:rPr>
                <w:sz w:val="7"/>
                <w:szCs w:val="7"/>
                <w:color w:val="auto"/>
              </w:rPr>
            </w:pPr>
          </w:p>
        </w:tc>
        <w:tc>
          <w:tcPr>
            <w:tcW w:w="22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Restricted nonvoting</w:t>
            </w: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31"/>
              <w:spacing w:after="0" w:line="8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center"/>
              <w:ind w:right="51"/>
              <w:spacing w:after="0" w:line="88"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1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31"/>
              <w:spacing w:after="0" w:line="101" w:lineRule="exact"/>
              <w:rPr>
                <w:sz w:val="20"/>
                <w:szCs w:val="20"/>
                <w:color w:val="auto"/>
              </w:rPr>
            </w:pPr>
            <w:r>
              <w:rPr>
                <w:rFonts w:ascii="Times New Roman" w:cs="Times New Roman" w:eastAsia="Times New Roman" w:hAnsi="Times New Roman"/>
                <w:sz w:val="10"/>
                <w:szCs w:val="10"/>
                <w:b w:val="1"/>
                <w:bCs w:val="1"/>
                <w:color w:val="auto"/>
                <w:w w:val="94"/>
              </w:rPr>
              <w:t>paid-in-</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1"/>
              <w:spacing w:after="0" w:line="101" w:lineRule="exact"/>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1180" w:type="dxa"/>
            <w:vAlign w:val="bottom"/>
            <w:gridSpan w:val="3"/>
          </w:tcPr>
          <w:p>
            <w:pPr>
              <w:ind w:left="3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9"/>
              </w:rPr>
              <w:t>(deficit) earnings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ind w:right="71"/>
              <w:spacing w:after="0" w:line="9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31"/>
              <w:spacing w:after="0" w:line="9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40" w:type="dxa"/>
            <w:vAlign w:val="bottom"/>
          </w:tcPr>
          <w:p>
            <w:pPr>
              <w:spacing w:after="0"/>
              <w:rPr>
                <w:sz w:val="7"/>
                <w:szCs w:val="7"/>
                <w:color w:val="auto"/>
              </w:rPr>
            </w:pPr>
          </w:p>
        </w:tc>
        <w:tc>
          <w:tcPr>
            <w:tcW w:w="560" w:type="dxa"/>
            <w:vAlign w:val="bottom"/>
            <w:tcBorders>
              <w:top w:val="single" w:sz="8" w:color="auto"/>
              <w:bottom w:val="single" w:sz="8" w:color="auto"/>
            </w:tcBorders>
          </w:tcPr>
          <w:p>
            <w:pPr>
              <w:ind w:left="140"/>
              <w:spacing w:after="0" w:line="9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Borders>
              <w:top w:val="single" w:sz="8" w:color="auto"/>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31"/>
              <w:spacing w:after="0" w:line="9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91"/>
              <w:spacing w:after="0" w:line="9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11"/>
              <w:spacing w:after="0" w:line="9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11"/>
              <w:spacing w:after="0" w:line="9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center"/>
              <w:ind w:right="51"/>
              <w:spacing w:after="0" w:line="9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Borders>
              <w:bottom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Balance at May 1, 2021</w:t>
            </w:r>
          </w:p>
        </w:tc>
        <w:tc>
          <w:tcPr>
            <w:tcW w:w="5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43,831</w:t>
            </w: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438</w:t>
            </w:r>
          </w:p>
        </w:tc>
        <w:tc>
          <w:tcPr>
            <w:tcW w:w="14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shd w:val="clear" w:color="auto" w:fill="CCEEFF"/>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88,560</w:t>
            </w: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124,859</w:t>
            </w:r>
          </w:p>
        </w:tc>
        <w:tc>
          <w:tcPr>
            <w:tcW w:w="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213,857</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auto"/>
              </w:rPr>
              <w:t>Stock based compensation</w:t>
            </w:r>
          </w:p>
        </w:tc>
        <w:tc>
          <w:tcPr>
            <w:tcW w:w="5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560" w:type="dxa"/>
            <w:vAlign w:val="bottom"/>
          </w:tcPr>
          <w:p>
            <w:pPr>
              <w:ind w:left="420"/>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7"/>
                <w:szCs w:val="7"/>
                <w:color w:val="auto"/>
              </w:rPr>
            </w:pPr>
          </w:p>
        </w:tc>
        <w:tc>
          <w:tcPr>
            <w:tcW w:w="440" w:type="dxa"/>
            <w:vAlign w:val="bottom"/>
          </w:tcPr>
          <w:p>
            <w:pPr>
              <w:jc w:val="right"/>
              <w:ind w:right="11"/>
              <w:spacing w:after="0" w:line="8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1,027</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1,027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Net Income</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17,723</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17,723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color w:val="auto"/>
              </w:rPr>
              <w:t>Balance at July 31, 2021</w:t>
            </w:r>
          </w:p>
        </w:tc>
        <w:tc>
          <w:tcPr>
            <w:tcW w:w="50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43,831</w:t>
            </w: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438</w:t>
            </w: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89,587</w:t>
            </w: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142,582</w:t>
            </w:r>
          </w:p>
        </w:tc>
        <w:tc>
          <w:tcPr>
            <w:tcW w:w="1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232,607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color w:val="auto"/>
              </w:rPr>
              <w:t>Balance at April 30, 2022</w:t>
            </w: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44,121</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441</w:t>
            </w:r>
          </w:p>
        </w:tc>
        <w:tc>
          <w:tcPr>
            <w:tcW w:w="14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90,362</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224,877</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315,680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Repurchase of treasury stock</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5,348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(52,057)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(52,057)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rPr>
              <w:t>Vesting of restricted stock units</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30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Payment of withholdings on restricted stock units</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auto"/>
              </w:rPr>
              <w:t>Issuance of common stock for cash per employee</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stock purchase plan</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40" w:type="dxa"/>
            <w:vAlign w:val="bottom"/>
          </w:tcPr>
          <w:p>
            <w:pPr>
              <w:spacing w:after="0"/>
              <w:rPr>
                <w:sz w:val="10"/>
                <w:szCs w:val="10"/>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Stock based compensation</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1,091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1,091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rPr>
              <w:t>Net income</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14,614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14,614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tcBorders>
              <w:top w:val="single" w:sz="8" w:color="CCEEFF"/>
              <w:bottom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Balance at July 30, 2022</w:t>
            </w:r>
          </w:p>
        </w:tc>
        <w:tc>
          <w:tcPr>
            <w:tcW w:w="5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44,215</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442</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shd w:val="clear" w:color="auto" w:fill="CCEEFF"/>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5,348</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(52,057)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91,976</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239,491</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279,852</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Twenty-Six Weeks Ended July 30, 2022 and July 31, 2021</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88"/>
        </w:trPr>
        <w:tc>
          <w:tcPr>
            <w:tcW w:w="20" w:type="dxa"/>
            <w:vAlign w:val="bottom"/>
          </w:tcPr>
          <w:p>
            <w:pPr>
              <w:spacing w:after="0"/>
              <w:rPr>
                <w:sz w:val="7"/>
                <w:szCs w:val="7"/>
                <w:color w:val="auto"/>
              </w:rPr>
            </w:pPr>
          </w:p>
        </w:tc>
        <w:tc>
          <w:tcPr>
            <w:tcW w:w="22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Restricted nonvoting</w:t>
            </w: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31"/>
              <w:spacing w:after="0" w:line="8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center"/>
              <w:ind w:right="51"/>
              <w:spacing w:after="0" w:line="88"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1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31"/>
              <w:spacing w:after="0" w:line="101" w:lineRule="exact"/>
              <w:rPr>
                <w:sz w:val="20"/>
                <w:szCs w:val="20"/>
                <w:color w:val="auto"/>
              </w:rPr>
            </w:pPr>
            <w:r>
              <w:rPr>
                <w:rFonts w:ascii="Times New Roman" w:cs="Times New Roman" w:eastAsia="Times New Roman" w:hAnsi="Times New Roman"/>
                <w:sz w:val="10"/>
                <w:szCs w:val="10"/>
                <w:b w:val="1"/>
                <w:bCs w:val="1"/>
                <w:color w:val="auto"/>
                <w:w w:val="94"/>
              </w:rPr>
              <w:t>paid-in-</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1"/>
              <w:spacing w:after="0" w:line="101" w:lineRule="exact"/>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1180" w:type="dxa"/>
            <w:vAlign w:val="bottom"/>
            <w:gridSpan w:val="3"/>
          </w:tcPr>
          <w:p>
            <w:pPr>
              <w:ind w:left="3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9"/>
              </w:rPr>
              <w:t>(deficit) earnings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ind w:right="71"/>
              <w:spacing w:after="0" w:line="9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31"/>
              <w:spacing w:after="0" w:line="9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40" w:type="dxa"/>
            <w:vAlign w:val="bottom"/>
          </w:tcPr>
          <w:p>
            <w:pPr>
              <w:spacing w:after="0"/>
              <w:rPr>
                <w:sz w:val="7"/>
                <w:szCs w:val="7"/>
                <w:color w:val="auto"/>
              </w:rPr>
            </w:pPr>
          </w:p>
        </w:tc>
        <w:tc>
          <w:tcPr>
            <w:tcW w:w="560" w:type="dxa"/>
            <w:vAlign w:val="bottom"/>
            <w:tcBorders>
              <w:top w:val="single" w:sz="8" w:color="auto"/>
              <w:bottom w:val="single" w:sz="8" w:color="auto"/>
            </w:tcBorders>
          </w:tcPr>
          <w:p>
            <w:pPr>
              <w:ind w:left="140"/>
              <w:spacing w:after="0" w:line="9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Borders>
              <w:top w:val="single" w:sz="8" w:color="auto"/>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31"/>
              <w:spacing w:after="0" w:line="9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91"/>
              <w:spacing w:after="0" w:line="9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11"/>
              <w:spacing w:after="0" w:line="9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11"/>
              <w:spacing w:after="0" w:line="9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center"/>
              <w:ind w:right="51"/>
              <w:spacing w:after="0" w:line="9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Borders>
              <w:bottom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Balance at January 30, 2021</w:t>
            </w:r>
          </w:p>
        </w:tc>
        <w:tc>
          <w:tcPr>
            <w:tcW w:w="5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43,623</w:t>
            </w: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436</w:t>
            </w:r>
          </w:p>
        </w:tc>
        <w:tc>
          <w:tcPr>
            <w:tcW w:w="14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shd w:val="clear" w:color="auto" w:fill="CCEEFF"/>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89,815</w:t>
            </w: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114,409</w:t>
            </w:r>
          </w:p>
        </w:tc>
        <w:tc>
          <w:tcPr>
            <w:tcW w:w="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204,660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auto"/>
              </w:rPr>
              <w:t>Vesting of restricted stock units</w:t>
            </w:r>
          </w:p>
        </w:tc>
        <w:tc>
          <w:tcPr>
            <w:tcW w:w="5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208</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7"/>
                <w:szCs w:val="7"/>
                <w:color w:val="auto"/>
              </w:rPr>
            </w:pPr>
          </w:p>
        </w:tc>
        <w:tc>
          <w:tcPr>
            <w:tcW w:w="560" w:type="dxa"/>
            <w:vAlign w:val="bottom"/>
          </w:tcPr>
          <w:p>
            <w:pPr>
              <w:ind w:left="420"/>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7"/>
                <w:szCs w:val="7"/>
                <w:color w:val="auto"/>
              </w:rPr>
            </w:pPr>
          </w:p>
        </w:tc>
        <w:tc>
          <w:tcPr>
            <w:tcW w:w="440" w:type="dxa"/>
            <w:vAlign w:val="bottom"/>
          </w:tcPr>
          <w:p>
            <w:pPr>
              <w:jc w:val="right"/>
              <w:ind w:right="11"/>
              <w:spacing w:after="0" w:line="8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Payment of withholdings on restricted stock units</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(2,269)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(2,269)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rPr>
              <w:t>Stock based compensation</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2,043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2,043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Net income</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28,173</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28,173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color w:val="auto"/>
              </w:rPr>
              <w:t>Balance at July 31, 2021</w:t>
            </w:r>
          </w:p>
        </w:tc>
        <w:tc>
          <w:tcPr>
            <w:tcW w:w="50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43,831</w:t>
            </w: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438</w:t>
            </w: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89,587</w:t>
            </w: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142,582</w:t>
            </w:r>
          </w:p>
        </w:tc>
        <w:tc>
          <w:tcPr>
            <w:tcW w:w="1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232,607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color w:val="auto"/>
              </w:rPr>
              <w:t>Balance at January 29, 2022</w:t>
            </w: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43,880</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439</w:t>
            </w:r>
          </w:p>
        </w:tc>
        <w:tc>
          <w:tcPr>
            <w:tcW w:w="14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90,851</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222,879</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314,169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Repurchase of treasury stock</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5,348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(52,057)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(52,057)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rPr>
              <w:t>Vesting of restricted stock units</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271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8"/>
                <w:szCs w:val="8"/>
                <w:color w:val="auto"/>
              </w:rPr>
            </w:pPr>
          </w:p>
        </w:tc>
        <w:tc>
          <w:tcPr>
            <w:tcW w:w="560" w:type="dxa"/>
            <w:vAlign w:val="bottom"/>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Payment of withholdings on restricted stock units</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(1,847)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(1,847)</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auto"/>
              </w:rPr>
              <w:t>Issuance of common stock for cash per employee</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stock purchase plan</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40" w:type="dxa"/>
            <w:vAlign w:val="bottom"/>
          </w:tcPr>
          <w:p>
            <w:pPr>
              <w:spacing w:after="0"/>
              <w:rPr>
                <w:sz w:val="10"/>
                <w:szCs w:val="10"/>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Stock based compensation</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2,449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2,449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rPr>
              <w:t>Net income</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4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11"/>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16,612</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16,612</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40" w:type="dxa"/>
            <w:vAlign w:val="bottom"/>
            <w:tcBorders>
              <w:top w:val="single" w:sz="8" w:color="CCEEFF"/>
              <w:bottom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Balance at July 30, 2022</w:t>
            </w:r>
          </w:p>
        </w:tc>
        <w:tc>
          <w:tcPr>
            <w:tcW w:w="5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44,215</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442</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ind w:left="4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shd w:val="clear" w:color="auto" w:fill="CCEEFF"/>
          </w:tcPr>
          <w:p>
            <w:pPr>
              <w:ind w:left="2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ind w:right="11"/>
              <w:spacing w:after="0" w:line="91" w:lineRule="exact"/>
              <w:rPr>
                <w:sz w:val="20"/>
                <w:szCs w:val="20"/>
                <w:color w:val="auto"/>
              </w:rPr>
            </w:pPr>
            <w:r>
              <w:rPr>
                <w:rFonts w:ascii="Times New Roman" w:cs="Times New Roman" w:eastAsia="Times New Roman" w:hAnsi="Times New Roman"/>
                <w:sz w:val="10"/>
                <w:szCs w:val="10"/>
                <w:color w:val="auto"/>
              </w:rPr>
              <w:t>5,348</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center"/>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(52,057)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91,976</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239,491</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279,852</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SPORTSMAN'S WAREHOUSE HOLDINGS,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6480" w:type="dxa"/>
            <w:vAlign w:val="bottom"/>
          </w:tcPr>
          <w:p>
            <w:pPr>
              <w:spacing w:after="0"/>
              <w:rPr>
                <w:sz w:val="10"/>
                <w:szCs w:val="10"/>
                <w:color w:val="auto"/>
              </w:rPr>
            </w:pPr>
          </w:p>
        </w:tc>
        <w:tc>
          <w:tcPr>
            <w:tcW w:w="2380" w:type="dxa"/>
            <w:vAlign w:val="bottom"/>
            <w:gridSpan w:val="6"/>
          </w:tcPr>
          <w:p>
            <w:pPr>
              <w:ind w:left="66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74"/>
        </w:trPr>
        <w:tc>
          <w:tcPr>
            <w:tcW w:w="6480" w:type="dxa"/>
            <w:vAlign w:val="bottom"/>
          </w:tcPr>
          <w:p>
            <w:pPr>
              <w:spacing w:after="0"/>
              <w:rPr>
                <w:sz w:val="6"/>
                <w:szCs w:val="6"/>
                <w:color w:val="auto"/>
              </w:rPr>
            </w:pPr>
          </w:p>
        </w:tc>
        <w:tc>
          <w:tcPr>
            <w:tcW w:w="72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July 30,</w:t>
            </w:r>
          </w:p>
        </w:tc>
        <w:tc>
          <w:tcPr>
            <w:tcW w:w="3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jc w:val="right"/>
              <w:ind w:right="326"/>
              <w:spacing w:after="0" w:line="74" w:lineRule="exact"/>
              <w:rPr>
                <w:sz w:val="20"/>
                <w:szCs w:val="20"/>
                <w:color w:val="auto"/>
              </w:rPr>
            </w:pPr>
            <w:r>
              <w:rPr>
                <w:rFonts w:ascii="Times New Roman" w:cs="Times New Roman" w:eastAsia="Times New Roman" w:hAnsi="Times New Roman"/>
                <w:sz w:val="7"/>
                <w:szCs w:val="7"/>
                <w:b w:val="1"/>
                <w:bCs w:val="1"/>
                <w:color w:val="auto"/>
              </w:rPr>
              <w:t>July 31,</w:t>
            </w:r>
          </w:p>
        </w:tc>
        <w:tc>
          <w:tcPr>
            <w:tcW w:w="20" w:type="dxa"/>
            <w:vAlign w:val="bottom"/>
          </w:tcPr>
          <w:p>
            <w:pPr>
              <w:spacing w:after="0"/>
              <w:rPr>
                <w:sz w:val="6"/>
                <w:szCs w:val="6"/>
                <w:color w:val="auto"/>
              </w:rPr>
            </w:pPr>
          </w:p>
        </w:tc>
      </w:tr>
      <w:tr>
        <w:trPr>
          <w:trHeight w:val="118"/>
        </w:trPr>
        <w:tc>
          <w:tcPr>
            <w:tcW w:w="64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27"/>
        </w:trPr>
        <w:tc>
          <w:tcPr>
            <w:tcW w:w="6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Cash flows from operating activities: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16,612</w:t>
            </w:r>
          </w:p>
        </w:tc>
        <w:tc>
          <w:tcPr>
            <w:tcW w:w="140" w:type="dxa"/>
            <w:vAlign w:val="bottom"/>
          </w:tcPr>
          <w:p>
            <w:pPr>
              <w:spacing w:after="0"/>
              <w:rPr>
                <w:sz w:val="11"/>
                <w:szCs w:val="11"/>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28,173</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(used in) operating activities: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Depreciation of property and equipment</w:t>
            </w:r>
          </w:p>
        </w:tc>
        <w:tc>
          <w:tcPr>
            <w:tcW w:w="7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15,137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12,116</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Amortization of deferred financing fees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0" w:type="dxa"/>
            <w:vAlign w:val="bottom"/>
          </w:tcPr>
          <w:p>
            <w:pPr>
              <w:spacing w:after="0"/>
              <w:rPr>
                <w:sz w:val="11"/>
                <w:szCs w:val="11"/>
                <w:color w:val="auto"/>
              </w:rPr>
            </w:pPr>
          </w:p>
        </w:tc>
      </w:tr>
      <w:tr>
        <w:trPr>
          <w:trHeight w:val="138"/>
        </w:trPr>
        <w:tc>
          <w:tcPr>
            <w:tcW w:w="6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definite lived intangible</w:t>
            </w:r>
          </w:p>
        </w:tc>
        <w:tc>
          <w:tcPr>
            <w:tcW w:w="7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Noncash lease expense</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7,962</w:t>
            </w:r>
          </w:p>
        </w:tc>
        <w:tc>
          <w:tcPr>
            <w:tcW w:w="20" w:type="dxa"/>
            <w:vAlign w:val="bottom"/>
          </w:tcPr>
          <w:p>
            <w:pPr>
              <w:spacing w:after="0"/>
              <w:rPr>
                <w:sz w:val="11"/>
                <w:szCs w:val="11"/>
                <w:color w:val="auto"/>
              </w:rPr>
            </w:pPr>
          </w:p>
        </w:tc>
      </w:tr>
      <w:tr>
        <w:trPr>
          <w:trHeight w:val="138"/>
        </w:trPr>
        <w:tc>
          <w:tcPr>
            <w:tcW w:w="6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Deferred income taxes</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(770)</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20" w:type="dxa"/>
            <w:vAlign w:val="bottom"/>
          </w:tcPr>
          <w:p>
            <w:pPr>
              <w:spacing w:after="0"/>
              <w:rPr>
                <w:sz w:val="11"/>
                <w:szCs w:val="11"/>
                <w:color w:val="auto"/>
              </w:rPr>
            </w:pPr>
          </w:p>
        </w:tc>
      </w:tr>
      <w:tr>
        <w:trPr>
          <w:trHeight w:val="138"/>
        </w:trPr>
        <w:tc>
          <w:tcPr>
            <w:tcW w:w="6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Change in operating assets and liabilities, net of amounts acquired:</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Accounts receivable, net</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1"/>
                <w:szCs w:val="11"/>
                <w:color w:val="auto"/>
              </w:rPr>
            </w:pPr>
          </w:p>
        </w:tc>
      </w:tr>
      <w:tr>
        <w:trPr>
          <w:trHeight w:val="138"/>
        </w:trPr>
        <w:tc>
          <w:tcPr>
            <w:tcW w:w="6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(15,276)</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(13,926)</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Merchandise inventories</w:t>
            </w:r>
          </w:p>
        </w:tc>
        <w:tc>
          <w:tcPr>
            <w:tcW w:w="7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(50,822)</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(134,919)</w:t>
            </w:r>
          </w:p>
        </w:tc>
        <w:tc>
          <w:tcPr>
            <w:tcW w:w="20" w:type="dxa"/>
            <w:vAlign w:val="bottom"/>
          </w:tcPr>
          <w:p>
            <w:pPr>
              <w:spacing w:after="0"/>
              <w:rPr>
                <w:sz w:val="11"/>
                <w:szCs w:val="11"/>
                <w:color w:val="auto"/>
              </w:rPr>
            </w:pPr>
          </w:p>
        </w:tc>
      </w:tr>
      <w:tr>
        <w:trPr>
          <w:trHeight w:val="138"/>
        </w:trPr>
        <w:tc>
          <w:tcPr>
            <w:tcW w:w="6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Prepaid expenses and other</w:t>
            </w:r>
          </w:p>
        </w:tc>
        <w:tc>
          <w:tcPr>
            <w:tcW w:w="7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2,614</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Accounts payable</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38,269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32,351</w:t>
            </w:r>
          </w:p>
        </w:tc>
        <w:tc>
          <w:tcPr>
            <w:tcW w:w="20" w:type="dxa"/>
            <w:vAlign w:val="bottom"/>
          </w:tcPr>
          <w:p>
            <w:pPr>
              <w:spacing w:after="0"/>
              <w:rPr>
                <w:sz w:val="11"/>
                <w:szCs w:val="11"/>
                <w:color w:val="auto"/>
              </w:rPr>
            </w:pPr>
          </w:p>
        </w:tc>
      </w:tr>
      <w:tr>
        <w:trPr>
          <w:trHeight w:val="138"/>
        </w:trPr>
        <w:tc>
          <w:tcPr>
            <w:tcW w:w="6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Accrued expenses</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(10,681)</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Income taxes payable and receivable</w:t>
            </w:r>
          </w:p>
        </w:tc>
        <w:tc>
          <w:tcPr>
            <w:tcW w:w="7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(4,648)</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(2,666)</w:t>
            </w:r>
          </w:p>
        </w:tc>
        <w:tc>
          <w:tcPr>
            <w:tcW w:w="20" w:type="dxa"/>
            <w:vAlign w:val="bottom"/>
          </w:tcPr>
          <w:p>
            <w:pPr>
              <w:spacing w:after="0"/>
              <w:rPr>
                <w:sz w:val="11"/>
                <w:szCs w:val="11"/>
                <w:color w:val="auto"/>
              </w:rPr>
            </w:pPr>
          </w:p>
        </w:tc>
      </w:tr>
      <w:tr>
        <w:trPr>
          <w:trHeight w:val="127"/>
        </w:trPr>
        <w:tc>
          <w:tcPr>
            <w:tcW w:w="6480" w:type="dxa"/>
            <w:vAlign w:val="bottom"/>
            <w:tcBorders>
              <w:bottom w:val="single" w:sz="8" w:color="CCEEFF"/>
            </w:tcBorders>
          </w:tcPr>
          <w:p>
            <w:pPr>
              <w:ind w:left="600"/>
              <w:spacing w:after="0" w:line="122" w:lineRule="exact"/>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7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7,967</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(67,782)</w:t>
            </w:r>
          </w:p>
        </w:tc>
        <w:tc>
          <w:tcPr>
            <w:tcW w:w="20" w:type="dxa"/>
            <w:vAlign w:val="bottom"/>
          </w:tcPr>
          <w:p>
            <w:pPr>
              <w:spacing w:after="0"/>
              <w:rPr>
                <w:sz w:val="11"/>
                <w:szCs w:val="11"/>
                <w:color w:val="auto"/>
              </w:rPr>
            </w:pPr>
          </w:p>
        </w:tc>
      </w:tr>
      <w:tr>
        <w:trPr>
          <w:trHeight w:val="127"/>
        </w:trPr>
        <w:tc>
          <w:tcPr>
            <w:tcW w:w="6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Cash flows from investing activities: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 of property and equipment, net of amounts acquired</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(22,588)</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(17,936)</w:t>
            </w:r>
          </w:p>
        </w:tc>
        <w:tc>
          <w:tcPr>
            <w:tcW w:w="20" w:type="dxa"/>
            <w:vAlign w:val="bottom"/>
          </w:tcPr>
          <w:p>
            <w:pPr>
              <w:spacing w:after="0"/>
              <w:rPr>
                <w:sz w:val="11"/>
                <w:szCs w:val="11"/>
                <w:color w:val="auto"/>
              </w:rPr>
            </w:pPr>
          </w:p>
        </w:tc>
      </w:tr>
      <w:tr>
        <w:trPr>
          <w:trHeight w:val="127"/>
        </w:trPr>
        <w:tc>
          <w:tcPr>
            <w:tcW w:w="6480" w:type="dxa"/>
            <w:vAlign w:val="bottom"/>
            <w:tcBorders>
              <w:top w:val="single" w:sz="8" w:color="CCEEFF"/>
            </w:tcBorders>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(22,588)</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(17,936)</w:t>
            </w:r>
          </w:p>
        </w:tc>
        <w:tc>
          <w:tcPr>
            <w:tcW w:w="20" w:type="dxa"/>
            <w:vAlign w:val="bottom"/>
          </w:tcPr>
          <w:p>
            <w:pPr>
              <w:spacing w:after="0"/>
              <w:rPr>
                <w:sz w:val="11"/>
                <w:szCs w:val="11"/>
                <w:color w:val="auto"/>
              </w:rPr>
            </w:pPr>
          </w:p>
        </w:tc>
      </w:tr>
      <w:tr>
        <w:trPr>
          <w:trHeight w:val="125"/>
        </w:trPr>
        <w:tc>
          <w:tcPr>
            <w:tcW w:w="64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flows from financing activities:</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0"/>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borrowings on line of credit</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24,726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20,191</w:t>
            </w:r>
          </w:p>
        </w:tc>
        <w:tc>
          <w:tcPr>
            <w:tcW w:w="20" w:type="dxa"/>
            <w:vAlign w:val="bottom"/>
          </w:tcPr>
          <w:p>
            <w:pPr>
              <w:spacing w:after="0"/>
              <w:rPr>
                <w:sz w:val="12"/>
                <w:szCs w:val="12"/>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(Decrease) increase in book overdraft, net</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(7,221)</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issuance of common stock per employee stock purchase plan</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Payments to acquire treasury stock</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(52,057)</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Payment of withholdings on restricted stock units</w:t>
            </w:r>
          </w:p>
        </w:tc>
        <w:tc>
          <w:tcPr>
            <w:tcW w:w="7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(1,844)</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(2,269)</w:t>
            </w:r>
          </w:p>
        </w:tc>
        <w:tc>
          <w:tcPr>
            <w:tcW w:w="20" w:type="dxa"/>
            <w:vAlign w:val="bottom"/>
          </w:tcPr>
          <w:p>
            <w:pPr>
              <w:spacing w:after="0"/>
              <w:rPr>
                <w:sz w:val="11"/>
                <w:szCs w:val="11"/>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Payment of deferred financing costs</w:t>
            </w:r>
          </w:p>
        </w:tc>
        <w:tc>
          <w:tcPr>
            <w:tcW w:w="72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(508)</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27"/>
        </w:trPr>
        <w:tc>
          <w:tcPr>
            <w:tcW w:w="6480" w:type="dxa"/>
            <w:vAlign w:val="bottom"/>
            <w:tcBorders>
              <w:top w:val="single" w:sz="8" w:color="CCEEFF"/>
            </w:tcBorders>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(36,379)</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22,813</w:t>
            </w:r>
          </w:p>
        </w:tc>
        <w:tc>
          <w:tcPr>
            <w:tcW w:w="20" w:type="dxa"/>
            <w:vAlign w:val="bottom"/>
          </w:tcPr>
          <w:p>
            <w:pPr>
              <w:spacing w:after="0"/>
              <w:rPr>
                <w:sz w:val="11"/>
                <w:szCs w:val="11"/>
                <w:color w:val="auto"/>
              </w:rPr>
            </w:pPr>
          </w:p>
        </w:tc>
      </w:tr>
      <w:tr>
        <w:trPr>
          <w:trHeight w:val="127"/>
        </w:trPr>
        <w:tc>
          <w:tcPr>
            <w:tcW w:w="648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1"/>
                <w:szCs w:val="11"/>
                <w:color w:val="auto"/>
              </w:rPr>
              <w:t>Net change in cash and cash equivalents</w:t>
            </w:r>
          </w:p>
        </w:tc>
        <w:tc>
          <w:tcPr>
            <w:tcW w:w="7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5"/>
              </w:rPr>
              <w:t>(51,000)</w:t>
            </w: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(62,905)</w:t>
            </w:r>
          </w:p>
        </w:tc>
        <w:tc>
          <w:tcPr>
            <w:tcW w:w="20" w:type="dxa"/>
            <w:vAlign w:val="bottom"/>
          </w:tcPr>
          <w:p>
            <w:pPr>
              <w:spacing w:after="0"/>
              <w:rPr>
                <w:sz w:val="11"/>
                <w:szCs w:val="11"/>
                <w:color w:val="auto"/>
              </w:rPr>
            </w:pPr>
          </w:p>
        </w:tc>
      </w:tr>
      <w:tr>
        <w:trPr>
          <w:trHeight w:val="127"/>
        </w:trPr>
        <w:tc>
          <w:tcPr>
            <w:tcW w:w="6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7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57,018</w:t>
            </w:r>
          </w:p>
        </w:tc>
        <w:tc>
          <w:tcPr>
            <w:tcW w:w="1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65,525</w:t>
            </w:r>
          </w:p>
        </w:tc>
        <w:tc>
          <w:tcPr>
            <w:tcW w:w="20" w:type="dxa"/>
            <w:vAlign w:val="bottom"/>
          </w:tcPr>
          <w:p>
            <w:pPr>
              <w:spacing w:after="0"/>
              <w:rPr>
                <w:sz w:val="11"/>
                <w:szCs w:val="11"/>
                <w:color w:val="auto"/>
              </w:rPr>
            </w:pPr>
          </w:p>
        </w:tc>
      </w:tr>
      <w:tr>
        <w:trPr>
          <w:trHeight w:val="135"/>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7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6,018</w:t>
            </w: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tcPr>
          <w:p>
            <w:pPr>
              <w:spacing w:after="0"/>
              <w:rPr>
                <w:sz w:val="20"/>
                <w:szCs w:val="20"/>
                <w:color w:val="auto"/>
              </w:rPr>
            </w:pPr>
            <w:r>
              <w:rPr>
                <w:rFonts w:ascii="Times New Roman" w:cs="Times New Roman" w:eastAsia="Times New Roman" w:hAnsi="Times New Roman"/>
                <w:sz w:val="11"/>
                <w:szCs w:val="11"/>
                <w:color w:val="auto"/>
              </w:rPr>
              <w:t>Supplemental disclosures of cash flow information:</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during the period for:</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net of amounts capitalized</w:t>
            </w:r>
          </w:p>
        </w:tc>
        <w:tc>
          <w:tcPr>
            <w:tcW w:w="720" w:type="dxa"/>
            <w:vAlign w:val="bottom"/>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140" w:type="dxa"/>
            <w:vAlign w:val="bottom"/>
          </w:tcPr>
          <w:p>
            <w:pPr>
              <w:spacing w:after="0"/>
              <w:rPr>
                <w:sz w:val="11"/>
                <w:szCs w:val="11"/>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Income taxes, net of refunds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12,051</w:t>
            </w:r>
          </w:p>
        </w:tc>
        <w:tc>
          <w:tcPr>
            <w:tcW w:w="20" w:type="dxa"/>
            <w:vAlign w:val="bottom"/>
          </w:tcPr>
          <w:p>
            <w:pPr>
              <w:spacing w:after="0"/>
              <w:rPr>
                <w:sz w:val="11"/>
                <w:szCs w:val="11"/>
                <w:color w:val="auto"/>
              </w:rPr>
            </w:pPr>
          </w:p>
        </w:tc>
      </w:tr>
      <w:tr>
        <w:trPr>
          <w:trHeight w:val="138"/>
        </w:trPr>
        <w:tc>
          <w:tcPr>
            <w:tcW w:w="6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Supplemental schedule of noncash activities: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Noncash change in operating lease right of use asset and operating lease liabilities from</w:t>
            </w:r>
          </w:p>
        </w:tc>
        <w:tc>
          <w:tcPr>
            <w:tcW w:w="720" w:type="dxa"/>
            <w:vAlign w:val="bottom"/>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23,972</w:t>
            </w:r>
          </w:p>
        </w:tc>
        <w:tc>
          <w:tcPr>
            <w:tcW w:w="140" w:type="dxa"/>
            <w:vAlign w:val="bottom"/>
          </w:tcPr>
          <w:p>
            <w:pPr>
              <w:spacing w:after="0"/>
              <w:rPr>
                <w:sz w:val="11"/>
                <w:szCs w:val="11"/>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24,443</w:t>
            </w:r>
          </w:p>
        </w:tc>
        <w:tc>
          <w:tcPr>
            <w:tcW w:w="20" w:type="dxa"/>
            <w:vAlign w:val="bottom"/>
          </w:tcPr>
          <w:p>
            <w:pPr>
              <w:spacing w:after="0"/>
              <w:rPr>
                <w:sz w:val="11"/>
                <w:szCs w:val="11"/>
                <w:color w:val="auto"/>
              </w:rPr>
            </w:pPr>
          </w:p>
        </w:tc>
      </w:tr>
      <w:tr>
        <w:trPr>
          <w:trHeight w:val="138"/>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remeasurement of existing leases and addition of new leases</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64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expenses</w:t>
            </w:r>
          </w:p>
        </w:tc>
        <w:tc>
          <w:tcPr>
            <w:tcW w:w="720" w:type="dxa"/>
            <w:vAlign w:val="bottom"/>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5,409</w:t>
            </w:r>
          </w:p>
        </w:tc>
        <w:tc>
          <w:tcPr>
            <w:tcW w:w="140" w:type="dxa"/>
            <w:vAlign w:val="bottom"/>
          </w:tcPr>
          <w:p>
            <w:pPr>
              <w:spacing w:after="0"/>
              <w:rPr>
                <w:sz w:val="12"/>
                <w:szCs w:val="12"/>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6,541</w:t>
            </w:r>
          </w:p>
        </w:tc>
        <w:tc>
          <w:tcPr>
            <w:tcW w:w="20" w:type="dxa"/>
            <w:vAlign w:val="bottom"/>
          </w:tcPr>
          <w:p>
            <w:pPr>
              <w:spacing w:after="0"/>
              <w:rPr>
                <w:sz w:val="12"/>
                <w:szCs w:val="12"/>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SPORTSMAN’S WAREHOUSE HOLDINGS,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AND SUBSIDIARIES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Amounts reported in thousands, except per share data and store count data</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Description of Business and Basis of Presentation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Description of Business</w:t>
      </w:r>
    </w:p>
    <w:p>
      <w:pPr>
        <w:spacing w:after="0" w:line="85" w:lineRule="exact"/>
        <w:rPr>
          <w:sz w:val="20"/>
          <w:szCs w:val="20"/>
          <w:color w:val="auto"/>
        </w:rPr>
      </w:pPr>
    </w:p>
    <w:p>
      <w:pPr>
        <w:ind w:left="20" w:right="59"/>
        <w:spacing w:after="0" w:line="274" w:lineRule="auto"/>
        <w:rPr>
          <w:sz w:val="20"/>
          <w:szCs w:val="20"/>
          <w:color w:val="auto"/>
        </w:rPr>
      </w:pPr>
      <w:r>
        <w:rPr>
          <w:rFonts w:ascii="Times New Roman" w:cs="Times New Roman" w:eastAsia="Times New Roman" w:hAnsi="Times New Roman"/>
          <w:sz w:val="12"/>
          <w:szCs w:val="12"/>
          <w:color w:val="auto"/>
        </w:rPr>
        <w:t>Sportsman’s Warehouse Holdings, Inc., a Delaware corporation (“Holdings”), and its subsidiaries (collectively, the “Company”) operate retail sporting goods stores. As of July 30, 2022, the Company operated 126 stores in 29 states. The Company also operates an e-commerce platform at www.sportsmans.com. The Company’s stores and website are aggregated into one operating and reportable segment.</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86" w:lineRule="exact"/>
        <w:rPr>
          <w:sz w:val="20"/>
          <w:szCs w:val="20"/>
          <w:color w:val="auto"/>
        </w:rPr>
      </w:pPr>
    </w:p>
    <w:p>
      <w:pPr>
        <w:ind w:left="20" w:right="139"/>
        <w:spacing w:after="0" w:line="260" w:lineRule="auto"/>
        <w:rPr>
          <w:sz w:val="20"/>
          <w:szCs w:val="20"/>
          <w:color w:val="auto"/>
        </w:rPr>
      </w:pPr>
      <w:r>
        <w:rPr>
          <w:rFonts w:ascii="Times New Roman" w:cs="Times New Roman" w:eastAsia="Times New Roman" w:hAnsi="Times New Roman"/>
          <w:sz w:val="12"/>
          <w:szCs w:val="12"/>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January 29, 2022 was derived from the Company’s audited consolidated balance sheet as of that date. All other condensed consolidated financial statements contained herein are unaudited and reflect all adjustments that are, in the opinion of management, necessary to summarize fairly our condensed consolidated financial statements for the periods presented. All of these adjustments are of a normal recurring nature. The results of the fiscal quarter ended July 30, 2022 are not necessarily indicative of the results to be obtained for the year ending January 28, 2023. These condensed consolidated financial statements should be read in conjunction with the Company’s audited consolidated financial statements and notes thereto included in the Company’s Annual Report on Form 10-K for the fiscal year ended January 29, 2022 filed with the SEC on March 30, 2022 (the “Fiscal 2021 Form 10-K”).</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58" w:lineRule="exact"/>
        <w:rPr>
          <w:sz w:val="20"/>
          <w:szCs w:val="20"/>
          <w:color w:val="auto"/>
        </w:rPr>
      </w:pPr>
    </w:p>
    <w:p>
      <w:pPr>
        <w:ind w:left="20" w:right="419"/>
        <w:spacing w:after="0" w:line="292" w:lineRule="auto"/>
        <w:rPr>
          <w:sz w:val="20"/>
          <w:szCs w:val="20"/>
          <w:color w:val="auto"/>
        </w:rPr>
      </w:pPr>
      <w:r>
        <w:rPr>
          <w:rFonts w:ascii="Times New Roman" w:cs="Times New Roman" w:eastAsia="Times New Roman" w:hAnsi="Times New Roman"/>
          <w:sz w:val="12"/>
          <w:szCs w:val="12"/>
          <w:color w:val="auto"/>
        </w:rPr>
        <w:t>The Company’s significant accounting policies are described in Note 2 to the Company’s Fiscal 2021 Form 10-K. Except for the changes below, the Company has consistently applied the accounting policies to all periods presented in these condensed consolidated financial statements.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174" w:lineRule="exact"/>
        <w:rPr>
          <w:sz w:val="20"/>
          <w:szCs w:val="20"/>
          <w:color w:val="auto"/>
        </w:rPr>
      </w:pPr>
    </w:p>
    <w:p>
      <w:pPr>
        <w:ind w:left="20" w:right="99"/>
        <w:spacing w:after="0" w:line="272" w:lineRule="auto"/>
        <w:rPr>
          <w:sz w:val="20"/>
          <w:szCs w:val="20"/>
          <w:color w:val="auto"/>
        </w:rPr>
      </w:pPr>
      <w:r>
        <w:rPr>
          <w:rFonts w:ascii="Times New Roman" w:cs="Times New Roman" w:eastAsia="Times New Roman" w:hAnsi="Times New Roman"/>
          <w:sz w:val="12"/>
          <w:szCs w:val="12"/>
          <w:color w:val="auto"/>
        </w:rPr>
        <w:t xml:space="preserve">In March 2020, the FASB issued (ASU) 2020-04, </w:t>
      </w:r>
      <w:r>
        <w:rPr>
          <w:rFonts w:ascii="Times New Roman" w:cs="Times New Roman" w:eastAsia="Times New Roman" w:hAnsi="Times New Roman"/>
          <w:sz w:val="12"/>
          <w:szCs w:val="12"/>
          <w:i w:val="1"/>
          <w:iCs w:val="1"/>
          <w:color w:val="auto"/>
        </w:rPr>
        <w:t>Reference Rate Reform (Topic 848): Facilitation of the Effects of Reference Rate Reform on Financial Reporting</w:t>
      </w:r>
      <w:r>
        <w:rPr>
          <w:rFonts w:ascii="Times New Roman" w:cs="Times New Roman" w:eastAsia="Times New Roman" w:hAnsi="Times New Roman"/>
          <w:sz w:val="12"/>
          <w:szCs w:val="12"/>
          <w:color w:val="auto"/>
        </w:rPr>
        <w:t>. This ASU provides temporary optional expedients and exceptions to existing guidance on contract modifications and hedge accounting to facilitate the market transition from existing reference rates, such as the London Inter-Bank Offered Rate (“LIBOR”), certain tenors of which were phased out in 2021, to alternate reference rates, such as the Secured Overnight Financing Rate.</w:t>
      </w:r>
    </w:p>
    <w:p>
      <w:pPr>
        <w:spacing w:after="0" w:line="295" w:lineRule="exact"/>
        <w:rPr>
          <w:sz w:val="20"/>
          <w:szCs w:val="20"/>
          <w:color w:val="auto"/>
        </w:rPr>
      </w:pPr>
    </w:p>
    <w:p>
      <w:pPr>
        <w:ind w:left="20" w:right="179"/>
        <w:spacing w:after="0" w:line="274" w:lineRule="auto"/>
        <w:rPr>
          <w:sz w:val="20"/>
          <w:szCs w:val="20"/>
          <w:color w:val="auto"/>
        </w:rPr>
      </w:pPr>
      <w:r>
        <w:rPr>
          <w:rFonts w:ascii="Times New Roman" w:cs="Times New Roman" w:eastAsia="Times New Roman" w:hAnsi="Times New Roman"/>
          <w:sz w:val="12"/>
          <w:szCs w:val="12"/>
          <w:color w:val="auto"/>
        </w:rPr>
        <w:t>The standard is currently effective and upon adoption may be applied prospectively to contract modifications made on or before December 31, 2022. The provisions have impact as contract modifications and other changes occur while LIBOR is phased out. The Company is in the process of evaluating the optional relief guidance provided within this ASU. Management will continue its assessment and monitor regulatory developments during the LIBOR transition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(3) Revenue Recognition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 accounting policy</w:t>
      </w:r>
    </w:p>
    <w:p>
      <w:pPr>
        <w:spacing w:after="0" w:line="158" w:lineRule="exact"/>
        <w:rPr>
          <w:sz w:val="20"/>
          <w:szCs w:val="20"/>
          <w:color w:val="auto"/>
        </w:rPr>
      </w:pPr>
    </w:p>
    <w:p>
      <w:pPr>
        <w:ind w:left="20" w:right="139"/>
        <w:spacing w:after="0" w:line="267" w:lineRule="auto"/>
        <w:rPr>
          <w:sz w:val="20"/>
          <w:szCs w:val="20"/>
          <w:color w:val="auto"/>
        </w:rPr>
      </w:pPr>
      <w:r>
        <w:rPr>
          <w:rFonts w:ascii="Times New Roman" w:cs="Times New Roman" w:eastAsia="Times New Roman" w:hAnsi="Times New Roman"/>
          <w:sz w:val="12"/>
          <w:szCs w:val="12"/>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credit for immaterial purchases to certain municipalities.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Substantially all of the Company’s revenue is for single performance obligations for the following distinct items:</w:t>
      </w:r>
    </w:p>
    <w:p>
      <w:pPr>
        <w:spacing w:after="0" w:line="156" w:lineRule="exact"/>
        <w:rPr>
          <w:sz w:val="20"/>
          <w:szCs w:val="20"/>
          <w:color w:val="auto"/>
        </w:rPr>
      </w:pPr>
    </w:p>
    <w:p>
      <w:pPr>
        <w:ind w:left="480" w:hanging="218"/>
        <w:spacing w:after="0"/>
        <w:tabs>
          <w:tab w:leader="none" w:pos="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store sales</w:t>
      </w:r>
    </w:p>
    <w:p>
      <w:pPr>
        <w:spacing w:after="0" w:line="156"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E-commerce sales</w:t>
      </w:r>
    </w:p>
    <w:p>
      <w:pPr>
        <w:spacing w:after="0" w:line="156"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Gift cards and loyalty rewards program</w:t>
      </w:r>
    </w:p>
    <w:p>
      <w:pPr>
        <w:spacing w:after="0" w:line="156" w:lineRule="exact"/>
        <w:rPr>
          <w:sz w:val="20"/>
          <w:szCs w:val="20"/>
          <w:color w:val="auto"/>
        </w:rPr>
      </w:pPr>
    </w:p>
    <w:p>
      <w:pPr>
        <w:ind w:left="20" w:right="99"/>
        <w:spacing w:after="0" w:line="292" w:lineRule="auto"/>
        <w:rPr>
          <w:sz w:val="20"/>
          <w:szCs w:val="20"/>
          <w:color w:val="auto"/>
        </w:rPr>
      </w:pPr>
      <w:r>
        <w:rPr>
          <w:rFonts w:ascii="Times New Roman" w:cs="Times New Roman" w:eastAsia="Times New Roman" w:hAnsi="Times New Roman"/>
          <w:sz w:val="12"/>
          <w:szCs w:val="12"/>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05" w:lineRule="exact"/>
        <w:rPr>
          <w:sz w:val="20"/>
          <w:szCs w:val="20"/>
          <w:color w:val="auto"/>
        </w:rPr>
      </w:pPr>
    </w:p>
    <w:p>
      <w:pPr>
        <w:ind w:left="20" w:right="99"/>
        <w:spacing w:after="0" w:line="267" w:lineRule="auto"/>
        <w:rPr>
          <w:sz w:val="20"/>
          <w:szCs w:val="20"/>
          <w:color w:val="auto"/>
        </w:rPr>
      </w:pPr>
      <w:r>
        <w:rPr>
          <w:rFonts w:ascii="Times New Roman" w:cs="Times New Roman" w:eastAsia="Times New Roman" w:hAnsi="Times New Roman"/>
          <w:sz w:val="12"/>
          <w:szCs w:val="12"/>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21" w:lineRule="exact"/>
        <w:rPr>
          <w:sz w:val="20"/>
          <w:szCs w:val="20"/>
          <w:color w:val="auto"/>
        </w:rPr>
      </w:pPr>
    </w:p>
    <w:p>
      <w:pPr>
        <w:ind w:left="20" w:right="99"/>
        <w:spacing w:after="0" w:line="263" w:lineRule="auto"/>
        <w:rPr>
          <w:sz w:val="20"/>
          <w:szCs w:val="20"/>
          <w:color w:val="auto"/>
        </w:rPr>
      </w:pPr>
      <w:r>
        <w:rPr>
          <w:rFonts w:ascii="Times New Roman" w:cs="Times New Roman" w:eastAsia="Times New Roman" w:hAnsi="Times New Roman"/>
          <w:sz w:val="12"/>
          <w:szCs w:val="12"/>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22" w:lineRule="exact"/>
        <w:rPr>
          <w:sz w:val="20"/>
          <w:szCs w:val="20"/>
          <w:color w:val="auto"/>
        </w:rPr>
      </w:pPr>
    </w:p>
    <w:p>
      <w:pPr>
        <w:ind w:left="20" w:right="59"/>
        <w:spacing w:after="0" w:line="267" w:lineRule="auto"/>
        <w:rPr>
          <w:sz w:val="20"/>
          <w:szCs w:val="20"/>
          <w:color w:val="auto"/>
        </w:rPr>
      </w:pPr>
      <w:r>
        <w:rPr>
          <w:rFonts w:ascii="Times New Roman" w:cs="Times New Roman" w:eastAsia="Times New Roman" w:hAnsi="Times New Roman"/>
          <w:sz w:val="12"/>
          <w:szCs w:val="12"/>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 Based upon historical experience, gift cards are predominantly redeemed in the first two years following their issuance date. The Company does not sell or provide gift cards that carry expiration dates.</w:t>
      </w:r>
    </w:p>
    <w:p>
      <w:pPr>
        <w:spacing w:after="0" w:line="121" w:lineRule="exact"/>
        <w:rPr>
          <w:sz w:val="20"/>
          <w:szCs w:val="20"/>
          <w:color w:val="auto"/>
        </w:rPr>
      </w:pPr>
    </w:p>
    <w:p>
      <w:pPr>
        <w:ind w:left="20" w:right="159"/>
        <w:spacing w:after="0" w:line="274" w:lineRule="auto"/>
        <w:rPr>
          <w:sz w:val="20"/>
          <w:szCs w:val="20"/>
          <w:color w:val="auto"/>
        </w:rPr>
      </w:pPr>
      <w:r>
        <w:rPr>
          <w:rFonts w:ascii="Times New Roman" w:cs="Times New Roman" w:eastAsia="Times New Roman" w:hAnsi="Times New Roman"/>
          <w:sz w:val="12"/>
          <w:szCs w:val="12"/>
          <w:color w:val="auto"/>
        </w:rPr>
        <w:t>Accounting Standards Codification (“ASC”) 606 requires the Company to allocate the transaction price between the goods and the loyalty reward points based on the relative standalone selling price. The Company recognized revenue for the breakage of loyalty reward points as revenue in proportion to the pattern of customer redemption of the points by applying a historical breakage rate of 25%.</w:t>
      </w:r>
    </w:p>
    <w:p>
      <w:pPr>
        <w:spacing w:after="0" w:line="115" w:lineRule="exact"/>
        <w:rPr>
          <w:sz w:val="20"/>
          <w:szCs w:val="20"/>
          <w:color w:val="auto"/>
        </w:rPr>
      </w:pPr>
    </w:p>
    <w:p>
      <w:pPr>
        <w:ind w:left="20" w:right="179"/>
        <w:spacing w:after="0" w:line="274" w:lineRule="auto"/>
        <w:rPr>
          <w:sz w:val="20"/>
          <w:szCs w:val="20"/>
          <w:color w:val="auto"/>
        </w:rPr>
      </w:pPr>
      <w:r>
        <w:rPr>
          <w:rFonts w:ascii="Times New Roman" w:cs="Times New Roman" w:eastAsia="Times New Roman" w:hAnsi="Times New Roman"/>
          <w:sz w:val="12"/>
          <w:szCs w:val="12"/>
          <w:color w:val="auto"/>
        </w:rPr>
        <w:t>As it relates to e-commerce sales, the Company accounts for shipping and handling as fulfillment activities, and not as separate performance obligation. Accordingly, the Company recognizes revenue for only one performance obligation, the sale of the product, at the shipping point (when the customer gains control). The costs associated with fulfillment are recorded in costs of goods sold.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39"/>
        <w:spacing w:after="0" w:line="261" w:lineRule="auto"/>
        <w:rPr>
          <w:sz w:val="20"/>
          <w:szCs w:val="20"/>
          <w:color w:val="auto"/>
        </w:rPr>
      </w:pPr>
      <w:r>
        <w:rPr>
          <w:rFonts w:ascii="Times New Roman" w:cs="Times New Roman" w:eastAsia="Times New Roman" w:hAnsi="Times New Roman"/>
          <w:sz w:val="12"/>
          <w:szCs w:val="12"/>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26" w:lineRule="exact"/>
        <w:rPr>
          <w:sz w:val="20"/>
          <w:szCs w:val="20"/>
          <w:color w:val="auto"/>
        </w:rPr>
      </w:pPr>
    </w:p>
    <w:p>
      <w:pPr>
        <w:ind w:left="20" w:right="499"/>
        <w:spacing w:after="0" w:line="292" w:lineRule="auto"/>
        <w:rPr>
          <w:sz w:val="20"/>
          <w:szCs w:val="20"/>
          <w:color w:val="auto"/>
        </w:rPr>
      </w:pPr>
      <w:r>
        <w:rPr>
          <w:rFonts w:ascii="Times New Roman" w:cs="Times New Roman" w:eastAsia="Times New Roman" w:hAnsi="Times New Roman"/>
          <w:sz w:val="12"/>
          <w:szCs w:val="12"/>
          <w:color w:val="auto"/>
        </w:rPr>
        <w:t>Taxes assessed by a governmental authority that are both imposed on and concurrent with a specific revenue-producing transaction, that are collected by the Company from a customer, are excluded from revenue.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Sales returns</w:t>
      </w:r>
    </w:p>
    <w:p>
      <w:pPr>
        <w:spacing w:after="0" w:line="158" w:lineRule="exact"/>
        <w:rPr>
          <w:sz w:val="20"/>
          <w:szCs w:val="20"/>
          <w:color w:val="auto"/>
        </w:rPr>
      </w:pPr>
    </w:p>
    <w:p>
      <w:pPr>
        <w:ind w:left="20" w:right="139"/>
        <w:spacing w:after="0" w:line="274" w:lineRule="auto"/>
        <w:rPr>
          <w:sz w:val="20"/>
          <w:szCs w:val="20"/>
          <w:color w:val="auto"/>
        </w:rPr>
      </w:pPr>
      <w:r>
        <w:rPr>
          <w:rFonts w:ascii="Times New Roman" w:cs="Times New Roman" w:eastAsia="Times New Roman" w:hAnsi="Times New Roman"/>
          <w:sz w:val="12"/>
          <w:szCs w:val="12"/>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balances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provides information about right of return assets, contract liabilities, and sales return liabilities with customers as of July 30, 2022 and January 29, 2022:</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July 30, 2022</w:t>
            </w:r>
          </w:p>
        </w:tc>
        <w:tc>
          <w:tcPr>
            <w:tcW w:w="180" w:type="dxa"/>
            <w:vAlign w:val="bottom"/>
          </w:tcPr>
          <w:p>
            <w:pPr>
              <w:spacing w:after="0"/>
              <w:rPr>
                <w:sz w:val="10"/>
                <w:szCs w:val="10"/>
                <w:color w:val="auto"/>
              </w:rPr>
            </w:pP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January 29, 2022</w:t>
            </w:r>
          </w:p>
        </w:tc>
      </w:tr>
      <w:tr>
        <w:trPr>
          <w:trHeight w:val="136"/>
        </w:trPr>
        <w:tc>
          <w:tcPr>
            <w:tcW w:w="610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Right of return assets, which are included in prepaid expenses and other</w:t>
            </w: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2,438</w:t>
            </w: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2,142</w:t>
            </w:r>
          </w:p>
        </w:tc>
      </w:tr>
      <w:tr>
        <w:trPr>
          <w:trHeight w:val="147"/>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Estimated gift card contract liability, net of breakage</w:t>
            </w:r>
          </w:p>
        </w:tc>
        <w:tc>
          <w:tcPr>
            <w:tcW w:w="24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(20,551)</w:t>
            </w: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(23,128)</w:t>
            </w:r>
          </w:p>
        </w:tc>
      </w:tr>
      <w:tr>
        <w:trPr>
          <w:trHeight w:val="14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loyalty contract liability, net of breakage</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(5,400)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(7,211)</w:t>
            </w:r>
          </w:p>
        </w:tc>
      </w:tr>
      <w:tr>
        <w:trPr>
          <w:trHeight w:val="159"/>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Sales return liabilities, which are included in accrued expenses</w:t>
            </w:r>
          </w:p>
        </w:tc>
        <w:tc>
          <w:tcPr>
            <w:tcW w:w="24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(3,639)</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(3,197)</w:t>
            </w:r>
          </w:p>
        </w:tc>
      </w:tr>
    </w:tbl>
    <w:p>
      <w:pPr>
        <w:spacing w:after="0" w:line="122" w:lineRule="exact"/>
        <w:rPr>
          <w:sz w:val="20"/>
          <w:szCs w:val="20"/>
          <w:color w:val="auto"/>
        </w:rPr>
      </w:pPr>
    </w:p>
    <w:p>
      <w:pPr>
        <w:ind w:left="20" w:right="159"/>
        <w:spacing w:after="0" w:line="271" w:lineRule="auto"/>
        <w:rPr>
          <w:sz w:val="20"/>
          <w:szCs w:val="20"/>
          <w:color w:val="auto"/>
        </w:rPr>
      </w:pPr>
      <w:r>
        <w:rPr>
          <w:rFonts w:ascii="Times New Roman" w:cs="Times New Roman" w:eastAsia="Times New Roman" w:hAnsi="Times New Roman"/>
          <w:sz w:val="12"/>
          <w:szCs w:val="12"/>
          <w:color w:val="auto"/>
        </w:rPr>
        <w:t>For the 13 and 26 weeks ended July 30, 2022, the Company recognized approximately $351 and $785 in gift card breakage and approximately $991 and $1,595 in loyalty reward breakage. For the 13 and 26 weeks ended July 31, 2021, the Company recognized approximately $292 and $673 in gift card breakage and approximately $773 and $1,328 in loyalty reward breakage. For the 13 and 26 weeks ended July 30, 2022, the Company recognized revenue of $4,796 and $15,383 relating to contract liabilities that existed at January 29, 2022.</w:t>
      </w:r>
    </w:p>
    <w:p>
      <w:pPr>
        <w:spacing w:after="0" w:line="268" w:lineRule="exact"/>
        <w:rPr>
          <w:sz w:val="20"/>
          <w:szCs w:val="20"/>
          <w:color w:val="auto"/>
        </w:rPr>
      </w:pPr>
    </w:p>
    <w:p>
      <w:pPr>
        <w:ind w:left="20" w:right="39"/>
        <w:spacing w:after="0" w:line="274" w:lineRule="auto"/>
        <w:rPr>
          <w:sz w:val="20"/>
          <w:szCs w:val="20"/>
          <w:color w:val="auto"/>
        </w:rPr>
      </w:pPr>
      <w:r>
        <w:rPr>
          <w:rFonts w:ascii="Times New Roman" w:cs="Times New Roman" w:eastAsia="Times New Roman" w:hAnsi="Times New Roman"/>
          <w:sz w:val="12"/>
          <w:szCs w:val="12"/>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Disaggregation of revenue from contracts with customers</w:t>
      </w:r>
    </w:p>
    <w:p>
      <w:pPr>
        <w:spacing w:after="0" w:line="158" w:lineRule="exact"/>
        <w:rPr>
          <w:sz w:val="20"/>
          <w:szCs w:val="20"/>
          <w:color w:val="auto"/>
        </w:rPr>
      </w:pPr>
    </w:p>
    <w:p>
      <w:pPr>
        <w:ind w:left="20" w:right="260"/>
        <w:spacing w:after="0" w:line="276" w:lineRule="auto"/>
        <w:rPr>
          <w:sz w:val="20"/>
          <w:szCs w:val="20"/>
          <w:color w:val="auto"/>
        </w:rPr>
      </w:pPr>
      <w:r>
        <w:rPr>
          <w:rFonts w:ascii="Times New Roman" w:cs="Times New Roman" w:eastAsia="Times New Roman" w:hAnsi="Times New Roman"/>
          <w:sz w:val="12"/>
          <w:szCs w:val="12"/>
          <w:color w:val="auto"/>
        </w:rPr>
        <w:t>In the following table, revenue from contracts with customers is disaggregated by department. The percentage of net sales related to the Company’s departments for the 13 and 26 weeks ended July 30, 2022 and July 31, 2021, was approximately:</w:t>
      </w:r>
    </w:p>
    <w:tbl>
      <w:tblPr>
        <w:tblLayout w:type="fixed"/>
        <w:tblInd w:w="20" w:type="dxa"/>
        <w:tblCellMar>
          <w:top w:w="0" w:type="dxa"/>
          <w:left w:w="0" w:type="dxa"/>
          <w:bottom w:w="0" w:type="dxa"/>
          <w:right w:w="0" w:type="dxa"/>
        </w:tblCellMar>
      </w:tblPr>
      <w:tr>
        <w:trPr>
          <w:trHeight w:val="136"/>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127"/>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74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156"/>
        </w:trPr>
        <w:tc>
          <w:tcPr>
            <w:tcW w:w="1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Department</w:t>
            </w:r>
          </w:p>
        </w:tc>
        <w:tc>
          <w:tcPr>
            <w:tcW w:w="3360" w:type="dxa"/>
            <w:vAlign w:val="bottom"/>
            <w:gridSpan w:val="2"/>
          </w:tcPr>
          <w:p>
            <w:pPr>
              <w:ind w:left="1240"/>
              <w:spacing w:after="0"/>
              <w:rPr>
                <w:sz w:val="20"/>
                <w:szCs w:val="20"/>
                <w:color w:val="auto"/>
              </w:rPr>
            </w:pPr>
            <w:r>
              <w:rPr>
                <w:rFonts w:ascii="Times New Roman" w:cs="Times New Roman" w:eastAsia="Times New Roman" w:hAnsi="Times New Roman"/>
                <w:sz w:val="10"/>
                <w:szCs w:val="10"/>
                <w:b w:val="1"/>
                <w:bCs w:val="1"/>
                <w:color w:val="auto"/>
              </w:rPr>
              <w:t>Product Offerings</w:t>
            </w:r>
          </w:p>
        </w:tc>
        <w:tc>
          <w:tcPr>
            <w:tcW w:w="76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Pr>
          <w:p>
            <w:pPr>
              <w:spacing w:after="0"/>
              <w:rPr>
                <w:sz w:val="13"/>
                <w:szCs w:val="13"/>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3"/>
                <w:szCs w:val="13"/>
                <w:color w:val="auto"/>
              </w:rPr>
            </w:pPr>
          </w:p>
        </w:tc>
      </w:tr>
      <w:tr>
        <w:trPr>
          <w:trHeight w:val="123"/>
        </w:trPr>
        <w:tc>
          <w:tcPr>
            <w:tcW w:w="16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Camping</w:t>
            </w:r>
          </w:p>
        </w:tc>
        <w:tc>
          <w:tcPr>
            <w:tcW w:w="160" w:type="dxa"/>
            <w:vAlign w:val="bottom"/>
            <w:tcBorders>
              <w:top w:val="single" w:sz="8" w:color="CCEEFF"/>
            </w:tcBorders>
            <w:shd w:val="clear" w:color="auto" w:fill="CCEEFF"/>
          </w:tcPr>
          <w:p>
            <w:pPr>
              <w:spacing w:after="0"/>
              <w:rPr>
                <w:sz w:val="10"/>
                <w:szCs w:val="10"/>
                <w:color w:val="auto"/>
              </w:rPr>
            </w:pPr>
          </w:p>
        </w:tc>
        <w:tc>
          <w:tcPr>
            <w:tcW w:w="3220" w:type="dxa"/>
            <w:vAlign w:val="bottom"/>
            <w:tcBorders>
              <w:top w:val="single" w:sz="8" w:color="auto"/>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Backpacks, camp essentials, canoes and kayaks, coolers, outdoor</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r>
      <w:tr>
        <w:trPr>
          <w:trHeight w:val="160"/>
        </w:trPr>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cooking equipment, sleeping bags, tents and tools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14.7%</w:t>
            </w:r>
          </w:p>
        </w:tc>
      </w:tr>
      <w:tr>
        <w:trPr>
          <w:trHeight w:val="134"/>
        </w:trPr>
        <w:tc>
          <w:tcPr>
            <w:tcW w:w="182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Apparel</w:t>
            </w:r>
          </w:p>
        </w:tc>
        <w:tc>
          <w:tcPr>
            <w:tcW w:w="33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2"/>
                <w:szCs w:val="12"/>
                <w:color w:val="auto"/>
              </w:rPr>
              <w:t>Camouflage, jackets, hats, outerwear, sportswear, technical gear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0"/>
        </w:trPr>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and work wear</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r>
      <w:tr>
        <w:trPr>
          <w:trHeight w:val="135"/>
        </w:trPr>
        <w:tc>
          <w:tcPr>
            <w:tcW w:w="18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Fishing</w:t>
            </w:r>
          </w:p>
        </w:tc>
        <w:tc>
          <w:tcPr>
            <w:tcW w:w="33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Bait, electronics, fishing rods, flotation items, fly fishing, lines,</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0"/>
        </w:trPr>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lures, reels, tackle and small boats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13.4%</w:t>
            </w:r>
          </w:p>
        </w:tc>
      </w:tr>
      <w:tr>
        <w:trPr>
          <w:trHeight w:val="134"/>
        </w:trPr>
        <w:tc>
          <w:tcPr>
            <w:tcW w:w="182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Footwear</w:t>
            </w:r>
          </w:p>
        </w:tc>
        <w:tc>
          <w:tcPr>
            <w:tcW w:w="33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2"/>
                <w:szCs w:val="12"/>
                <w:color w:val="auto"/>
              </w:rPr>
              <w:t>Hiking boots, socks, sport sandals, technical footwear, trail</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shoes, casual shoes, waders and work boots</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6.4%</w:t>
            </w:r>
          </w:p>
        </w:tc>
      </w:tr>
      <w:tr>
        <w:trPr>
          <w:trHeight w:val="135"/>
        </w:trPr>
        <w:tc>
          <w:tcPr>
            <w:tcW w:w="18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Hunting and Shooting</w:t>
            </w:r>
          </w:p>
        </w:tc>
        <w:tc>
          <w:tcPr>
            <w:tcW w:w="336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Ammunition, archery items, ATV accessories, blinds and tree</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0"/>
        </w:trPr>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stands, decoys, firearms, reloading equipment and shooting gear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53.1%</w:t>
            </w:r>
          </w:p>
        </w:tc>
      </w:tr>
      <w:tr>
        <w:trPr>
          <w:trHeight w:val="134"/>
        </w:trPr>
        <w:tc>
          <w:tcPr>
            <w:tcW w:w="182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Optics, Electronics, Accessories,</w:t>
            </w:r>
          </w:p>
        </w:tc>
        <w:tc>
          <w:tcPr>
            <w:tcW w:w="33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2"/>
                <w:szCs w:val="12"/>
                <w:color w:val="auto"/>
              </w:rPr>
              <w:t>Gift items, GPS devices, knives, lighting, optics, two-way radios,</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and Other</w:t>
            </w:r>
          </w:p>
        </w:tc>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and other license revenue, net of revenue discounts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5.9%</w:t>
            </w:r>
          </w:p>
        </w:tc>
      </w:tr>
      <w:tr>
        <w:trPr>
          <w:trHeight w:val="157"/>
        </w:trPr>
        <w:tc>
          <w:tcPr>
            <w:tcW w:w="1820" w:type="dxa"/>
            <w:vAlign w:val="bottom"/>
            <w:tcBorders>
              <w:bottom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Total</w:t>
            </w:r>
          </w:p>
        </w:tc>
        <w:tc>
          <w:tcPr>
            <w:tcW w:w="3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100.0%</w:t>
            </w:r>
          </w:p>
        </w:tc>
      </w:tr>
      <w:tr>
        <w:trPr>
          <w:trHeight w:val="364"/>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(4) Property and Equipment</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5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Property and equipment as of July 30, 2022 and January 29, 2022 were as follows: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January 29,</w:t>
            </w:r>
          </w:p>
        </w:tc>
      </w:tr>
      <w:tr>
        <w:trPr>
          <w:trHeight w:val="118"/>
        </w:trPr>
        <w:tc>
          <w:tcPr>
            <w:tcW w:w="16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2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40" w:type="dxa"/>
            <w:vAlign w:val="bottom"/>
          </w:tcPr>
          <w:p>
            <w:pPr>
              <w:spacing w:after="0"/>
              <w:rPr>
                <w:sz w:val="10"/>
                <w:szCs w:val="10"/>
                <w:color w:val="auto"/>
              </w:rPr>
            </w:pPr>
          </w:p>
        </w:tc>
      </w:tr>
      <w:tr>
        <w:trPr>
          <w:trHeight w:val="136"/>
        </w:trPr>
        <w:tc>
          <w:tcPr>
            <w:tcW w:w="18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Furniture, fixtures, and equipment</w:t>
            </w:r>
          </w:p>
        </w:tc>
        <w:tc>
          <w:tcPr>
            <w:tcW w:w="3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122,815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115,597</w:t>
            </w:r>
          </w:p>
        </w:tc>
        <w:tc>
          <w:tcPr>
            <w:tcW w:w="40" w:type="dxa"/>
            <w:vAlign w:val="bottom"/>
          </w:tcPr>
          <w:p>
            <w:pPr>
              <w:spacing w:after="0"/>
              <w:rPr>
                <w:sz w:val="11"/>
                <w:szCs w:val="11"/>
                <w:color w:val="auto"/>
              </w:rPr>
            </w:pPr>
          </w:p>
        </w:tc>
      </w:tr>
      <w:tr>
        <w:trPr>
          <w:trHeight w:val="147"/>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150,385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143,064</w:t>
            </w:r>
          </w:p>
        </w:tc>
        <w:tc>
          <w:tcPr>
            <w:tcW w:w="40" w:type="dxa"/>
            <w:vAlign w:val="bottom"/>
          </w:tcPr>
          <w:p>
            <w:pPr>
              <w:spacing w:after="0"/>
              <w:rPr>
                <w:sz w:val="12"/>
                <w:szCs w:val="12"/>
                <w:color w:val="auto"/>
              </w:rPr>
            </w:pPr>
          </w:p>
        </w:tc>
      </w:tr>
      <w:tr>
        <w:trPr>
          <w:trHeight w:val="147"/>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3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5,007</w:t>
            </w:r>
          </w:p>
        </w:tc>
        <w:tc>
          <w:tcPr>
            <w:tcW w:w="40" w:type="dxa"/>
            <w:vAlign w:val="bottom"/>
          </w:tcPr>
          <w:p>
            <w:pPr>
              <w:spacing w:after="0"/>
              <w:rPr>
                <w:sz w:val="12"/>
                <w:szCs w:val="12"/>
                <w:color w:val="auto"/>
              </w:rPr>
            </w:pPr>
          </w:p>
        </w:tc>
      </w:tr>
      <w:tr>
        <w:trPr>
          <w:trHeight w:val="136"/>
        </w:trPr>
        <w:tc>
          <w:tcPr>
            <w:tcW w:w="182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Total property and equipment, gross</w:t>
            </w:r>
          </w:p>
        </w:tc>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287,331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263,668</w:t>
            </w:r>
          </w:p>
        </w:tc>
        <w:tc>
          <w:tcPr>
            <w:tcW w:w="40" w:type="dxa"/>
            <w:vAlign w:val="bottom"/>
          </w:tcPr>
          <w:p>
            <w:pPr>
              <w:spacing w:after="0"/>
              <w:rPr>
                <w:sz w:val="11"/>
                <w:szCs w:val="11"/>
                <w:color w:val="auto"/>
              </w:rPr>
            </w:pPr>
          </w:p>
        </w:tc>
      </w:tr>
      <w:tr>
        <w:trPr>
          <w:trHeight w:val="147"/>
        </w:trPr>
        <w:tc>
          <w:tcPr>
            <w:tcW w:w="5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(135,364)</w:t>
            </w:r>
          </w:p>
        </w:tc>
        <w:tc>
          <w:tcPr>
            <w:tcW w:w="40" w:type="dxa"/>
            <w:vAlign w:val="bottom"/>
          </w:tcPr>
          <w:p>
            <w:pPr>
              <w:spacing w:after="0"/>
              <w:rPr>
                <w:sz w:val="12"/>
                <w:szCs w:val="12"/>
                <w:color w:val="auto"/>
              </w:rPr>
            </w:pPr>
          </w:p>
        </w:tc>
      </w:tr>
      <w:tr>
        <w:trPr>
          <w:trHeight w:val="144"/>
        </w:trPr>
        <w:tc>
          <w:tcPr>
            <w:tcW w:w="182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Total property and equipment, net</w:t>
            </w: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137,152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128,304</w:t>
            </w:r>
          </w:p>
        </w:tc>
        <w:tc>
          <w:tcPr>
            <w:tcW w:w="40" w:type="dxa"/>
            <w:vAlign w:val="bottom"/>
          </w:tcPr>
          <w:p>
            <w:pPr>
              <w:spacing w:after="0"/>
              <w:rPr>
                <w:sz w:val="12"/>
                <w:szCs w:val="12"/>
                <w:color w:val="auto"/>
              </w:rPr>
            </w:pPr>
          </w:p>
        </w:tc>
      </w:tr>
      <w:tr>
        <w:trPr>
          <w:trHeight w:val="385"/>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(5) Accrued Expenses</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5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Accrued expenses consisted of the following as of July 30, 2022 and January 29, 2022:</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1"/>
        </w:trPr>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January 29,</w:t>
            </w:r>
          </w:p>
        </w:tc>
      </w:tr>
      <w:tr>
        <w:trPr>
          <w:trHeight w:val="108"/>
        </w:trPr>
        <w:tc>
          <w:tcPr>
            <w:tcW w:w="166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32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142"/>
              <w:spacing w:after="0" w:line="109"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42"/>
              <w:spacing w:after="0" w:line="109"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40" w:type="dxa"/>
            <w:vAlign w:val="bottom"/>
          </w:tcPr>
          <w:p>
            <w:pPr>
              <w:spacing w:after="0"/>
              <w:rPr>
                <w:sz w:val="9"/>
                <w:szCs w:val="9"/>
                <w:color w:val="auto"/>
              </w:rPr>
            </w:pPr>
          </w:p>
        </w:tc>
      </w:tr>
      <w:tr>
        <w:trPr>
          <w:trHeight w:val="136"/>
        </w:trPr>
        <w:tc>
          <w:tcPr>
            <w:tcW w:w="18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Book overdraft</w:t>
            </w:r>
          </w:p>
        </w:tc>
        <w:tc>
          <w:tcPr>
            <w:tcW w:w="3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9,031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16,252</w:t>
            </w:r>
          </w:p>
        </w:tc>
        <w:tc>
          <w:tcPr>
            <w:tcW w:w="40" w:type="dxa"/>
            <w:vAlign w:val="bottom"/>
          </w:tcPr>
          <w:p>
            <w:pPr>
              <w:spacing w:after="0"/>
              <w:rPr>
                <w:sz w:val="11"/>
                <w:szCs w:val="11"/>
                <w:color w:val="auto"/>
              </w:rPr>
            </w:pPr>
          </w:p>
        </w:tc>
      </w:tr>
      <w:tr>
        <w:trPr>
          <w:trHeight w:val="147"/>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Unearned revenue</w:t>
            </w: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42,058</w:t>
            </w:r>
          </w:p>
        </w:tc>
        <w:tc>
          <w:tcPr>
            <w:tcW w:w="40" w:type="dxa"/>
            <w:vAlign w:val="bottom"/>
          </w:tcPr>
          <w:p>
            <w:pPr>
              <w:spacing w:after="0"/>
              <w:rPr>
                <w:sz w:val="12"/>
                <w:szCs w:val="12"/>
                <w:color w:val="auto"/>
              </w:rPr>
            </w:pPr>
          </w:p>
        </w:tc>
      </w:tr>
      <w:tr>
        <w:trPr>
          <w:trHeight w:val="147"/>
        </w:trPr>
        <w:tc>
          <w:tcPr>
            <w:tcW w:w="5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payroll and related expenses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26,309</w:t>
            </w:r>
          </w:p>
        </w:tc>
        <w:tc>
          <w:tcPr>
            <w:tcW w:w="40" w:type="dxa"/>
            <w:vAlign w:val="bottom"/>
          </w:tcPr>
          <w:p>
            <w:pPr>
              <w:spacing w:after="0"/>
              <w:rPr>
                <w:sz w:val="12"/>
                <w:szCs w:val="12"/>
                <w:color w:val="auto"/>
              </w:rPr>
            </w:pPr>
          </w:p>
        </w:tc>
      </w:tr>
      <w:tr>
        <w:trPr>
          <w:trHeight w:val="147"/>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and use tax payable</w:t>
            </w: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8,788</w:t>
            </w:r>
          </w:p>
        </w:tc>
        <w:tc>
          <w:tcPr>
            <w:tcW w:w="40" w:type="dxa"/>
            <w:vAlign w:val="bottom"/>
          </w:tcPr>
          <w:p>
            <w:pPr>
              <w:spacing w:after="0"/>
              <w:rPr>
                <w:sz w:val="12"/>
                <w:szCs w:val="12"/>
                <w:color w:val="auto"/>
              </w:rPr>
            </w:pPr>
          </w:p>
        </w:tc>
      </w:tr>
      <w:tr>
        <w:trPr>
          <w:trHeight w:val="147"/>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construction costs</w:t>
            </w:r>
          </w:p>
        </w:tc>
        <w:tc>
          <w:tcPr>
            <w:tcW w:w="3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40" w:type="dxa"/>
            <w:vAlign w:val="bottom"/>
          </w:tcPr>
          <w:p>
            <w:pPr>
              <w:spacing w:after="0"/>
              <w:rPr>
                <w:sz w:val="12"/>
                <w:szCs w:val="12"/>
                <w:color w:val="auto"/>
              </w:rPr>
            </w:pPr>
          </w:p>
        </w:tc>
      </w:tr>
      <w:tr>
        <w:trPr>
          <w:trHeight w:val="147"/>
        </w:trPr>
        <w:tc>
          <w:tcPr>
            <w:tcW w:w="1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3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18,570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15,189</w:t>
            </w:r>
          </w:p>
        </w:tc>
        <w:tc>
          <w:tcPr>
            <w:tcW w:w="40" w:type="dxa"/>
            <w:vAlign w:val="bottom"/>
          </w:tcPr>
          <w:p>
            <w:pPr>
              <w:spacing w:after="0"/>
              <w:rPr>
                <w:sz w:val="12"/>
                <w:szCs w:val="12"/>
                <w:color w:val="auto"/>
              </w:rPr>
            </w:pPr>
          </w:p>
        </w:tc>
      </w:tr>
      <w:tr>
        <w:trPr>
          <w:trHeight w:val="156"/>
        </w:trPr>
        <w:tc>
          <w:tcPr>
            <w:tcW w:w="1820" w:type="dxa"/>
            <w:vAlign w:val="bottom"/>
            <w:tcBorders>
              <w:bottom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Total accrued expenses</w:t>
            </w:r>
          </w:p>
        </w:tc>
        <w:tc>
          <w:tcPr>
            <w:tcW w:w="3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91,040</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109,012</w:t>
            </w:r>
          </w:p>
        </w:tc>
        <w:tc>
          <w:tcPr>
            <w:tcW w:w="40" w:type="dxa"/>
            <w:vAlign w:val="bottom"/>
          </w:tcPr>
          <w:p>
            <w:pPr>
              <w:spacing w:after="0"/>
              <w:rPr>
                <w:sz w:val="13"/>
                <w:szCs w:val="13"/>
                <w:color w:val="auto"/>
              </w:rPr>
            </w:pPr>
          </w:p>
        </w:tc>
      </w:tr>
      <w:tr>
        <w:trPr>
          <w:trHeight w:val="805"/>
        </w:trPr>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8"/>
        </w:trPr>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20"/>
          </w:cols>
          <w:pgMar w:left="1440" w:top="393" w:right="14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(6) Leases</w:t>
      </w:r>
    </w:p>
    <w:p>
      <w:pPr>
        <w:spacing w:after="0" w:line="158" w:lineRule="exact"/>
        <w:rPr>
          <w:sz w:val="20"/>
          <w:szCs w:val="20"/>
          <w:color w:val="auto"/>
        </w:rPr>
      </w:pPr>
    </w:p>
    <w:p>
      <w:pPr>
        <w:ind w:left="20" w:right="339"/>
        <w:spacing w:after="0" w:line="292" w:lineRule="auto"/>
        <w:rPr>
          <w:sz w:val="20"/>
          <w:szCs w:val="20"/>
          <w:color w:val="auto"/>
        </w:rPr>
      </w:pPr>
      <w:r>
        <w:rPr>
          <w:rFonts w:ascii="Times New Roman" w:cs="Times New Roman" w:eastAsia="Times New Roman" w:hAnsi="Times New Roman"/>
          <w:sz w:val="12"/>
          <w:szCs w:val="12"/>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05" w:lineRule="exact"/>
        <w:rPr>
          <w:sz w:val="20"/>
          <w:szCs w:val="20"/>
          <w:color w:val="auto"/>
        </w:rPr>
      </w:pPr>
    </w:p>
    <w:p>
      <w:pPr>
        <w:ind w:left="20" w:right="139"/>
        <w:spacing w:after="0" w:line="263" w:lineRule="auto"/>
        <w:rPr>
          <w:sz w:val="20"/>
          <w:szCs w:val="20"/>
          <w:color w:val="auto"/>
        </w:rPr>
      </w:pPr>
      <w:r>
        <w:rPr>
          <w:rFonts w:ascii="Times New Roman" w:cs="Times New Roman" w:eastAsia="Times New Roman" w:hAnsi="Times New Roman"/>
          <w:sz w:val="12"/>
          <w:szCs w:val="12"/>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22" w:lineRule="exact"/>
        <w:rPr>
          <w:sz w:val="20"/>
          <w:szCs w:val="20"/>
          <w:color w:val="auto"/>
        </w:rPr>
      </w:pPr>
    </w:p>
    <w:p>
      <w:pPr>
        <w:ind w:left="20" w:right="79"/>
        <w:spacing w:after="0" w:line="292" w:lineRule="auto"/>
        <w:rPr>
          <w:sz w:val="20"/>
          <w:szCs w:val="20"/>
          <w:color w:val="auto"/>
        </w:rPr>
      </w:pPr>
      <w:r>
        <w:rPr>
          <w:rFonts w:ascii="Times New Roman" w:cs="Times New Roman" w:eastAsia="Times New Roman" w:hAnsi="Times New Roman"/>
          <w:sz w:val="12"/>
          <w:szCs w:val="12"/>
          <w:color w:val="auto"/>
        </w:rPr>
        <w:t>In the 13 and 26 weeks ended July 30, 2022, the Company recorded a non-cash increase of $17,594 and $23,972 to the right of use assets and operating lease liabilities resulting from lease remeasurements from the exercise of lease extension options, acquired leases, and new leases added.</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Company’s lease agreements do not contain any material residual value guarantees or material restrictive covenants.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accordance with ASC 842, total lease expense was comprised of the following:</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5"/>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gridSpan w:val="7"/>
          </w:tcPr>
          <w:p>
            <w:pPr>
              <w:ind w:left="34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83"/>
        </w:trPr>
        <w:tc>
          <w:tcPr>
            <w:tcW w:w="4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ind w:left="120"/>
              <w:spacing w:after="0" w:line="83" w:lineRule="exact"/>
              <w:rPr>
                <w:sz w:val="20"/>
                <w:szCs w:val="20"/>
                <w:color w:val="auto"/>
              </w:rPr>
            </w:pPr>
            <w:r>
              <w:rPr>
                <w:rFonts w:ascii="Times New Roman" w:cs="Times New Roman" w:eastAsia="Times New Roman" w:hAnsi="Times New Roman"/>
                <w:sz w:val="9"/>
                <w:szCs w:val="9"/>
                <w:b w:val="1"/>
                <w:bCs w:val="1"/>
                <w:color w:val="auto"/>
              </w:rPr>
              <w:t>July 30,</w:t>
            </w: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ind w:right="247"/>
              <w:spacing w:after="0" w:line="83" w:lineRule="exact"/>
              <w:rPr>
                <w:sz w:val="20"/>
                <w:szCs w:val="20"/>
                <w:color w:val="auto"/>
              </w:rPr>
            </w:pPr>
            <w:r>
              <w:rPr>
                <w:rFonts w:ascii="Times New Roman" w:cs="Times New Roman" w:eastAsia="Times New Roman" w:hAnsi="Times New Roman"/>
                <w:sz w:val="9"/>
                <w:szCs w:val="9"/>
                <w:b w:val="1"/>
                <w:bCs w:val="1"/>
                <w:color w:val="auto"/>
              </w:rPr>
              <w:t>July 31,</w:t>
            </w:r>
          </w:p>
        </w:tc>
        <w:tc>
          <w:tcPr>
            <w:tcW w:w="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July 30,</w:t>
            </w:r>
          </w:p>
        </w:tc>
        <w:tc>
          <w:tcPr>
            <w:tcW w:w="1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right"/>
              <w:ind w:right="263"/>
              <w:spacing w:after="0" w:line="83" w:lineRule="exact"/>
              <w:rPr>
                <w:sz w:val="20"/>
                <w:szCs w:val="20"/>
                <w:color w:val="auto"/>
              </w:rPr>
            </w:pPr>
            <w:r>
              <w:rPr>
                <w:rFonts w:ascii="Times New Roman" w:cs="Times New Roman" w:eastAsia="Times New Roman" w:hAnsi="Times New Roman"/>
                <w:sz w:val="9"/>
                <w:szCs w:val="9"/>
                <w:b w:val="1"/>
                <w:bCs w:val="1"/>
                <w:color w:val="auto"/>
              </w:rPr>
              <w:t>July 31,</w:t>
            </w:r>
          </w:p>
        </w:tc>
        <w:tc>
          <w:tcPr>
            <w:tcW w:w="20" w:type="dxa"/>
            <w:vAlign w:val="bottom"/>
          </w:tcPr>
          <w:p>
            <w:pPr>
              <w:spacing w:after="0"/>
              <w:rPr>
                <w:sz w:val="7"/>
                <w:szCs w:val="7"/>
                <w:color w:val="auto"/>
              </w:rPr>
            </w:pPr>
          </w:p>
        </w:tc>
      </w:tr>
      <w:tr>
        <w:trPr>
          <w:trHeight w:val="108"/>
        </w:trPr>
        <w:tc>
          <w:tcPr>
            <w:tcW w:w="4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right"/>
              <w:ind w:right="305"/>
              <w:spacing w:after="0" w:line="109"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jc w:val="right"/>
              <w:ind w:right="307"/>
              <w:spacing w:after="0" w:line="109"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ind w:right="323"/>
              <w:spacing w:after="0" w:line="109"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9"/>
                <w:szCs w:val="9"/>
                <w:color w:val="auto"/>
              </w:rPr>
            </w:pPr>
          </w:p>
        </w:tc>
      </w:tr>
      <w:tr>
        <w:trPr>
          <w:trHeight w:val="14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expense</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13,836</w:t>
            </w:r>
          </w:p>
        </w:tc>
        <w:tc>
          <w:tcPr>
            <w:tcW w:w="36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28,945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27,702</w:t>
            </w:r>
          </w:p>
        </w:tc>
        <w:tc>
          <w:tcPr>
            <w:tcW w:w="20" w:type="dxa"/>
            <w:vAlign w:val="bottom"/>
          </w:tcPr>
          <w:p>
            <w:pPr>
              <w:spacing w:after="0"/>
              <w:rPr>
                <w:sz w:val="12"/>
                <w:szCs w:val="12"/>
                <w:color w:val="auto"/>
              </w:rPr>
            </w:pPr>
          </w:p>
        </w:tc>
      </w:tr>
      <w:tr>
        <w:trPr>
          <w:trHeight w:val="147"/>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Variable lease expense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9,062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8,557</w:t>
            </w:r>
          </w:p>
        </w:tc>
        <w:tc>
          <w:tcPr>
            <w:tcW w:w="20" w:type="dxa"/>
            <w:vAlign w:val="bottom"/>
          </w:tcPr>
          <w:p>
            <w:pPr>
              <w:spacing w:after="0"/>
              <w:rPr>
                <w:sz w:val="12"/>
                <w:szCs w:val="12"/>
                <w:color w:val="auto"/>
              </w:rPr>
            </w:pPr>
          </w:p>
        </w:tc>
      </w:tr>
      <w:tr>
        <w:trPr>
          <w:trHeight w:val="14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lease expense</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20" w:type="dxa"/>
            <w:vAlign w:val="bottom"/>
          </w:tcPr>
          <w:p>
            <w:pPr>
              <w:spacing w:after="0"/>
              <w:rPr>
                <w:sz w:val="12"/>
                <w:szCs w:val="12"/>
                <w:color w:val="auto"/>
              </w:rPr>
            </w:pPr>
          </w:p>
        </w:tc>
      </w:tr>
      <w:tr>
        <w:trPr>
          <w:trHeight w:val="144"/>
        </w:trPr>
        <w:tc>
          <w:tcPr>
            <w:tcW w:w="442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auto"/>
              </w:rPr>
              <w:t>Total lease expense</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19,624</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18,341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2"/>
                <w:szCs w:val="12"/>
                <w:color w:val="auto"/>
              </w:rPr>
              <w:t>38,591</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36,739</w:t>
            </w:r>
          </w:p>
        </w:tc>
        <w:tc>
          <w:tcPr>
            <w:tcW w:w="20" w:type="dxa"/>
            <w:vAlign w:val="bottom"/>
          </w:tcPr>
          <w:p>
            <w:pPr>
              <w:spacing w:after="0"/>
              <w:rPr>
                <w:sz w:val="12"/>
                <w:szCs w:val="12"/>
                <w:color w:val="auto"/>
              </w:rPr>
            </w:pPr>
          </w:p>
        </w:tc>
      </w:tr>
      <w:tr>
        <w:trPr>
          <w:trHeight w:val="587"/>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In accordance with ASC 842, other information related to leases was as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7"/>
        </w:trPr>
        <w:tc>
          <w:tcPr>
            <w:tcW w:w="4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Twenty-Six Weeks Ended</w:t>
            </w:r>
          </w:p>
        </w:tc>
        <w:tc>
          <w:tcPr>
            <w:tcW w:w="8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01"/>
        </w:trPr>
        <w:tc>
          <w:tcPr>
            <w:tcW w:w="4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gridSpan w:val="3"/>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w w:val="95"/>
              </w:rPr>
              <w:t>July 30,</w:t>
            </w: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tcPr>
          <w:p>
            <w:pPr>
              <w:jc w:val="center"/>
              <w:ind w:right="480"/>
              <w:spacing w:after="0" w:line="102" w:lineRule="exact"/>
              <w:rPr>
                <w:sz w:val="20"/>
                <w:szCs w:val="20"/>
                <w:color w:val="auto"/>
              </w:rPr>
            </w:pPr>
            <w:r>
              <w:rPr>
                <w:rFonts w:ascii="Times New Roman" w:cs="Times New Roman" w:eastAsia="Times New Roman" w:hAnsi="Times New Roman"/>
                <w:sz w:val="10"/>
                <w:szCs w:val="10"/>
                <w:b w:val="1"/>
                <w:bCs w:val="1"/>
                <w:color w:val="auto"/>
                <w:w w:val="95"/>
              </w:rPr>
              <w:t>July 31,</w:t>
            </w:r>
          </w:p>
        </w:tc>
      </w:tr>
      <w:tr>
        <w:trPr>
          <w:trHeight w:val="108"/>
        </w:trPr>
        <w:tc>
          <w:tcPr>
            <w:tcW w:w="44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46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403"/>
              <w:spacing w:after="0" w:line="109"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0" w:type="dxa"/>
            <w:vAlign w:val="bottom"/>
          </w:tcPr>
          <w:p>
            <w:pPr>
              <w:spacing w:after="0"/>
              <w:rPr>
                <w:sz w:val="9"/>
                <w:szCs w:val="9"/>
                <w:color w:val="auto"/>
              </w:rPr>
            </w:pPr>
          </w:p>
        </w:tc>
      </w:tr>
      <w:tr>
        <w:trPr>
          <w:trHeight w:val="136"/>
        </w:trPr>
        <w:tc>
          <w:tcPr>
            <w:tcW w:w="4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Operating cash flows from operating leases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(31,351)</w:t>
            </w: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(29,209)</w:t>
            </w:r>
          </w:p>
        </w:tc>
        <w:tc>
          <w:tcPr>
            <w:tcW w:w="20" w:type="dxa"/>
            <w:vAlign w:val="bottom"/>
          </w:tcPr>
          <w:p>
            <w:pPr>
              <w:spacing w:after="0"/>
              <w:rPr>
                <w:sz w:val="11"/>
                <w:szCs w:val="11"/>
                <w:color w:val="auto"/>
              </w:rPr>
            </w:pPr>
          </w:p>
        </w:tc>
      </w:tr>
      <w:tr>
        <w:trPr>
          <w:trHeight w:val="144"/>
        </w:trPr>
        <w:tc>
          <w:tcPr>
            <w:tcW w:w="442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Cash paid for lease liabilities - operating leases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(31,351)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(29,209)</w:t>
            </w:r>
          </w:p>
        </w:tc>
        <w:tc>
          <w:tcPr>
            <w:tcW w:w="20" w:type="dxa"/>
            <w:vAlign w:val="bottom"/>
          </w:tcPr>
          <w:p>
            <w:pPr>
              <w:spacing w:after="0"/>
              <w:rPr>
                <w:sz w:val="12"/>
                <w:szCs w:val="12"/>
                <w:color w:val="auto"/>
              </w:rPr>
            </w:pPr>
          </w:p>
        </w:tc>
      </w:tr>
      <w:tr>
        <w:trPr>
          <w:trHeight w:val="259"/>
        </w:trPr>
        <w:tc>
          <w:tcPr>
            <w:tcW w:w="4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As of July 30,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As of July 31,</w:t>
            </w:r>
          </w:p>
        </w:tc>
      </w:tr>
      <w:tr>
        <w:trPr>
          <w:trHeight w:val="108"/>
        </w:trPr>
        <w:tc>
          <w:tcPr>
            <w:tcW w:w="4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403"/>
              <w:spacing w:after="0" w:line="109"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0" w:type="dxa"/>
            <w:vAlign w:val="bottom"/>
          </w:tcPr>
          <w:p>
            <w:pPr>
              <w:spacing w:after="0"/>
              <w:rPr>
                <w:sz w:val="9"/>
                <w:szCs w:val="9"/>
                <w:color w:val="auto"/>
              </w:rPr>
            </w:pPr>
          </w:p>
        </w:tc>
      </w:tr>
      <w:tr>
        <w:trPr>
          <w:trHeight w:val="127"/>
        </w:trPr>
        <w:tc>
          <w:tcPr>
            <w:tcW w:w="4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 obtained in exchange for new or remeasured operating lease liabilities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23,972</w:t>
            </w:r>
          </w:p>
        </w:tc>
        <w:tc>
          <w:tcPr>
            <w:tcW w:w="3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24,443</w:t>
            </w:r>
          </w:p>
        </w:tc>
        <w:tc>
          <w:tcPr>
            <w:tcW w:w="20" w:type="dxa"/>
            <w:vAlign w:val="bottom"/>
          </w:tcPr>
          <w:p>
            <w:pPr>
              <w:spacing w:after="0"/>
              <w:rPr>
                <w:sz w:val="12"/>
                <w:szCs w:val="12"/>
                <w:color w:val="auto"/>
              </w:rPr>
            </w:pPr>
          </w:p>
        </w:tc>
      </w:tr>
      <w:tr>
        <w:trPr>
          <w:trHeight w:val="147"/>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Terminated right-of-use assets and liabilities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lease term - operating leases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2"/>
                <w:szCs w:val="12"/>
                <w:color w:val="auto"/>
              </w:rPr>
            </w:pPr>
          </w:p>
        </w:tc>
      </w:tr>
      <w:tr>
        <w:trPr>
          <w:trHeight w:val="159"/>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discount rate - operating leases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20" w:type="dxa"/>
            <w:vAlign w:val="bottom"/>
          </w:tcPr>
          <w:p>
            <w:pPr>
              <w:spacing w:after="0"/>
              <w:rPr>
                <w:sz w:val="13"/>
                <w:szCs w:val="13"/>
                <w:color w:val="auto"/>
              </w:rPr>
            </w:pPr>
          </w:p>
        </w:tc>
      </w:tr>
      <w:tr>
        <w:trPr>
          <w:trHeight w:val="428"/>
        </w:trPr>
        <w:tc>
          <w:tcPr>
            <w:tcW w:w="44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82"/>
              </w:rPr>
              <w:t>12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6"/>
        </w:trPr>
        <w:tc>
          <w:tcPr>
            <w:tcW w:w="4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3"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accordance with ASC 842, maturities of operating lease liabilities as of July 30, 2022 were as follows: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19"/>
        </w:trPr>
        <w:tc>
          <w:tcPr>
            <w:tcW w:w="4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80" w:type="dxa"/>
            <w:vAlign w:val="bottom"/>
          </w:tcPr>
          <w:p>
            <w:pPr>
              <w:jc w:val="right"/>
              <w:ind w:right="801"/>
              <w:spacing w:after="0"/>
              <w:rPr>
                <w:sz w:val="20"/>
                <w:szCs w:val="20"/>
                <w:color w:val="auto"/>
              </w:rPr>
            </w:pPr>
            <w:r>
              <w:rPr>
                <w:rFonts w:ascii="Times New Roman" w:cs="Times New Roman" w:eastAsia="Times New Roman" w:hAnsi="Times New Roman"/>
                <w:sz w:val="10"/>
                <w:szCs w:val="10"/>
                <w:b w:val="1"/>
                <w:bCs w:val="1"/>
                <w:color w:val="auto"/>
              </w:rPr>
              <w:t>Operating</w:t>
            </w:r>
          </w:p>
        </w:tc>
      </w:tr>
      <w:tr>
        <w:trPr>
          <w:trHeight w:val="108"/>
        </w:trPr>
        <w:tc>
          <w:tcPr>
            <w:tcW w:w="498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Year Endings:</w:t>
            </w:r>
          </w:p>
        </w:tc>
        <w:tc>
          <w:tcPr>
            <w:tcW w:w="18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jc w:val="right"/>
              <w:ind w:right="861"/>
              <w:spacing w:after="0" w:line="109" w:lineRule="exact"/>
              <w:rPr>
                <w:sz w:val="20"/>
                <w:szCs w:val="20"/>
                <w:color w:val="auto"/>
              </w:rPr>
            </w:pPr>
            <w:r>
              <w:rPr>
                <w:rFonts w:ascii="Times New Roman" w:cs="Times New Roman" w:eastAsia="Times New Roman" w:hAnsi="Times New Roman"/>
                <w:sz w:val="10"/>
                <w:szCs w:val="10"/>
                <w:b w:val="1"/>
                <w:bCs w:val="1"/>
                <w:color w:val="auto"/>
              </w:rPr>
              <w:t>Leases</w:t>
            </w:r>
          </w:p>
        </w:tc>
      </w:tr>
      <w:tr>
        <w:trPr>
          <w:trHeight w:val="136"/>
        </w:trPr>
        <w:tc>
          <w:tcPr>
            <w:tcW w:w="4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2022 (remainder)</w:t>
            </w:r>
          </w:p>
        </w:tc>
        <w:tc>
          <w:tcPr>
            <w:tcW w:w="18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32,389</w:t>
            </w:r>
          </w:p>
        </w:tc>
      </w:tr>
      <w:tr>
        <w:trPr>
          <w:trHeight w:val="147"/>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62,579</w:t>
            </w:r>
          </w:p>
        </w:tc>
      </w:tr>
      <w:tr>
        <w:trPr>
          <w:trHeight w:val="14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54,350</w:t>
            </w:r>
          </w:p>
        </w:tc>
      </w:tr>
      <w:tr>
        <w:trPr>
          <w:trHeight w:val="147"/>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47,790</w:t>
            </w:r>
          </w:p>
        </w:tc>
      </w:tr>
      <w:tr>
        <w:trPr>
          <w:trHeight w:val="14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42,625</w:t>
            </w:r>
          </w:p>
        </w:tc>
      </w:tr>
      <w:tr>
        <w:trPr>
          <w:trHeight w:val="147"/>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151,658</w:t>
            </w:r>
          </w:p>
        </w:tc>
      </w:tr>
      <w:tr>
        <w:trPr>
          <w:trHeight w:val="136"/>
        </w:trPr>
        <w:tc>
          <w:tcPr>
            <w:tcW w:w="4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Undiscounted cash flows</w:t>
            </w:r>
          </w:p>
        </w:tc>
        <w:tc>
          <w:tcPr>
            <w:tcW w:w="18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391,391</w:t>
            </w:r>
          </w:p>
        </w:tc>
      </w:tr>
      <w:tr>
        <w:trPr>
          <w:trHeight w:val="127"/>
        </w:trPr>
        <w:tc>
          <w:tcPr>
            <w:tcW w:w="498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Reconciliation of lease liabilities:</w:t>
            </w:r>
          </w:p>
        </w:tc>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47"/>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Present values</w:t>
            </w:r>
          </w:p>
        </w:tc>
        <w:tc>
          <w:tcPr>
            <w:tcW w:w="230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285,791</w:t>
            </w:r>
          </w:p>
        </w:tc>
      </w:tr>
      <w:tr>
        <w:trPr>
          <w:trHeight w:val="147"/>
        </w:trPr>
        <w:tc>
          <w:tcPr>
            <w:tcW w:w="49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Lease liabilities - current</w:t>
            </w:r>
          </w:p>
        </w:tc>
        <w:tc>
          <w:tcPr>
            <w:tcW w:w="1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42,195</w:t>
            </w:r>
          </w:p>
        </w:tc>
      </w:tr>
      <w:tr>
        <w:trPr>
          <w:trHeight w:val="147"/>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Lease liabilities - noncurrent</w:t>
            </w:r>
          </w:p>
        </w:tc>
        <w:tc>
          <w:tcPr>
            <w:tcW w:w="18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243,596</w:t>
            </w:r>
          </w:p>
        </w:tc>
      </w:tr>
      <w:tr>
        <w:trPr>
          <w:trHeight w:val="144"/>
        </w:trPr>
        <w:tc>
          <w:tcPr>
            <w:tcW w:w="498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color w:val="auto"/>
              </w:rPr>
              <w:t>Lease liabilities - total</w:t>
            </w:r>
          </w:p>
        </w:tc>
        <w:tc>
          <w:tcPr>
            <w:tcW w:w="18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285,791</w:t>
            </w:r>
          </w:p>
        </w:tc>
      </w:tr>
      <w:tr>
        <w:trPr>
          <w:trHeight w:val="147"/>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Difference between undiscounted and discounted cash flows</w:t>
            </w:r>
          </w:p>
        </w:tc>
        <w:tc>
          <w:tcPr>
            <w:tcW w:w="18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105,600</w:t>
            </w:r>
          </w:p>
        </w:tc>
      </w:tr>
    </w:tbl>
    <w:p>
      <w:pPr>
        <w:spacing w:after="0" w:line="143" w:lineRule="exact"/>
        <w:rPr>
          <w:sz w:val="20"/>
          <w:szCs w:val="20"/>
          <w:color w:val="auto"/>
        </w:rPr>
      </w:pPr>
    </w:p>
    <w:p>
      <w:pPr>
        <w:jc w:val="both"/>
        <w:ind w:left="20" w:right="39"/>
        <w:spacing w:after="0" w:line="292" w:lineRule="auto"/>
        <w:rPr>
          <w:sz w:val="20"/>
          <w:szCs w:val="20"/>
          <w:color w:val="auto"/>
        </w:rPr>
      </w:pPr>
      <w:r>
        <w:rPr>
          <w:rFonts w:ascii="Times New Roman" w:cs="Times New Roman" w:eastAsia="Times New Roman" w:hAnsi="Times New Roman"/>
          <w:sz w:val="12"/>
          <w:szCs w:val="12"/>
          <w:color w:val="auto"/>
        </w:rPr>
        <w:t>The Company has excluded in the table above approximately $29.1 million of leases (undiscounted basis) that were entered into as of September 2, 2022. These leases will commence in 2022 and 2023 with lease terms of 10 years</w:t>
      </w:r>
      <w:r>
        <w:rPr>
          <w:rFonts w:ascii="Times New Roman" w:cs="Times New Roman" w:eastAsia="Times New Roman" w:hAnsi="Times New Roman"/>
          <w:sz w:val="11"/>
          <w:szCs w:val="11"/>
          <w:i w:val="1"/>
          <w:iCs w:val="1"/>
          <w:color w:val="auto"/>
        </w:rPr>
        <w:t>.</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(7) Revolving Line of Credit</w:t>
      </w:r>
    </w:p>
    <w:p>
      <w:pPr>
        <w:spacing w:after="0" w:line="167" w:lineRule="exact"/>
        <w:rPr>
          <w:sz w:val="20"/>
          <w:szCs w:val="20"/>
          <w:color w:val="auto"/>
        </w:rPr>
      </w:pPr>
    </w:p>
    <w:p>
      <w:pPr>
        <w:ind w:left="20" w:right="119"/>
        <w:spacing w:after="0" w:line="267" w:lineRule="auto"/>
        <w:rPr>
          <w:sz w:val="20"/>
          <w:szCs w:val="20"/>
          <w:color w:val="auto"/>
        </w:rPr>
      </w:pPr>
      <w:r>
        <w:rPr>
          <w:rFonts w:ascii="Times New Roman" w:cs="Times New Roman" w:eastAsia="Times New Roman" w:hAnsi="Times New Roman"/>
          <w:sz w:val="12"/>
          <w:szCs w:val="12"/>
          <w:color w:val="auto"/>
        </w:rPr>
        <w:t>On May 27, 2022, Sportsman’s Warehouse, Inc. (“SWI”), a wholly owned subsidiary of Holdings, as lead borrower, Holdings and other subsidiaries of the Company, each as borrowers or guarantors, and Wells Fargo Bank, National Association (“Wells Fargo”), with a consortium of banks led by Wells Fargo, entered into an Amended and Restated Credit Agreement (as amended, restated, supplemented or otherwise modified, the “Credit Agreement”). The Credit Agreement governs the Company’s senior secured revolving credit facility (“Revolving Line of Credit”). The Revolving Line of Credit provides borrowing capacity of up to $350,000, subject to a borrowing base calculation.</w:t>
      </w:r>
    </w:p>
    <w:p>
      <w:pPr>
        <w:spacing w:after="0" w:line="130" w:lineRule="exact"/>
        <w:rPr>
          <w:sz w:val="20"/>
          <w:szCs w:val="20"/>
          <w:color w:val="auto"/>
        </w:rPr>
      </w:pPr>
    </w:p>
    <w:p>
      <w:pPr>
        <w:ind w:left="20" w:right="99"/>
        <w:spacing w:after="0" w:line="292" w:lineRule="auto"/>
        <w:rPr>
          <w:sz w:val="20"/>
          <w:szCs w:val="20"/>
          <w:color w:val="auto"/>
        </w:rPr>
      </w:pPr>
      <w:r>
        <w:rPr>
          <w:rFonts w:ascii="Times New Roman" w:cs="Times New Roman" w:eastAsia="Times New Roman" w:hAnsi="Times New Roman"/>
          <w:sz w:val="12"/>
          <w:szCs w:val="12"/>
          <w:color w:val="auto"/>
        </w:rPr>
        <w:t>In conjunction with the Credit Agreement, the Company incurred $508 of fees paid to various parties which were capitalized. Fees associated with the Revolving Line of Credit were recorded in prepaid expenses and other assets.</w:t>
      </w:r>
    </w:p>
    <w:p>
      <w:pPr>
        <w:spacing w:after="0" w:line="105" w:lineRule="exact"/>
        <w:rPr>
          <w:sz w:val="20"/>
          <w:szCs w:val="20"/>
          <w:color w:val="auto"/>
        </w:rPr>
      </w:pPr>
    </w:p>
    <w:p>
      <w:pPr>
        <w:ind w:left="20" w:right="139"/>
        <w:spacing w:after="0" w:line="267" w:lineRule="auto"/>
        <w:rPr>
          <w:sz w:val="20"/>
          <w:szCs w:val="20"/>
          <w:color w:val="auto"/>
        </w:rPr>
      </w:pPr>
      <w:r>
        <w:rPr>
          <w:rFonts w:ascii="Times New Roman" w:cs="Times New Roman" w:eastAsia="Times New Roman" w:hAnsi="Times New Roman"/>
          <w:sz w:val="12"/>
          <w:szCs w:val="12"/>
          <w:color w:val="auto"/>
        </w:rPr>
        <w:t>As of July 30, 2022 and January 29, 2022, the Company had $105,719 and $76,976, in outstanding revolving loans under the Revolving Line of Credit and the Company’s previous revolving line of credit, respectively. Amounts outstanding are offset on the condensed consolidated balance sheets by amounts in depository accounts under lock-box type arrangements, which were $14,939 and $10,923 as of July 30, 2022 and January 29, 2022, respectively. As of July 30, 2022, the Company had stand-by commercial letters of credit of $1,967 under the terms of the Revolving Line of Credit.</w:t>
      </w:r>
    </w:p>
    <w:p>
      <w:pPr>
        <w:spacing w:after="0" w:line="121" w:lineRule="exact"/>
        <w:rPr>
          <w:sz w:val="20"/>
          <w:szCs w:val="20"/>
          <w:color w:val="auto"/>
        </w:rPr>
      </w:pPr>
    </w:p>
    <w:p>
      <w:pPr>
        <w:ind w:left="20" w:right="79"/>
        <w:spacing w:after="0" w:line="263" w:lineRule="auto"/>
        <w:rPr>
          <w:sz w:val="20"/>
          <w:szCs w:val="20"/>
          <w:color w:val="auto"/>
        </w:rPr>
      </w:pPr>
      <w:r>
        <w:rPr>
          <w:rFonts w:ascii="Times New Roman" w:cs="Times New Roman" w:eastAsia="Times New Roman" w:hAnsi="Times New Roman"/>
          <w:sz w:val="12"/>
          <w:szCs w:val="12"/>
          <w:color w:val="auto"/>
        </w:rPr>
        <w:t>Borrowings under the Revolving Line of Credit bear interest based on either the base rate or Term SOFR, at the Company’s option, in each case plus an applicable margin. The base rate is the greatest of (1) the floor rate (as defined in the credit agreement as a rate of interest equal to 0.0%) (2) Wells Fargo’s prime rate, (3) the federal funds rate (as defined in the Amended Credit Agreement) plus 0.50% or (4) the one-month Term SOFR (as defined in the Amended Credit Agreement) plus 1.00%. The applicable margin for loans under the revolving credit facility, which varies based on the average daily availability, ranges from 0.25% to 0.50% per year for base rate loans and from 1.35% to 1.60% per year for Term SOFR loans. The Company is required to pay a commitment fee for the unused portion of the revolving credit facility, which will range from 0.20% to 0.225% per annum, depending on the average daily availability under the Revolving Line of Credit.</w:t>
      </w:r>
    </w:p>
    <w:p>
      <w:pPr>
        <w:spacing w:after="0" w:line="122" w:lineRule="exact"/>
        <w:rPr>
          <w:sz w:val="20"/>
          <w:szCs w:val="20"/>
          <w:color w:val="auto"/>
        </w:rPr>
      </w:pPr>
    </w:p>
    <w:p>
      <w:pPr>
        <w:ind w:left="20" w:right="39"/>
        <w:spacing w:after="0" w:line="274" w:lineRule="auto"/>
        <w:rPr>
          <w:sz w:val="20"/>
          <w:szCs w:val="20"/>
          <w:color w:val="auto"/>
        </w:rPr>
      </w:pPr>
      <w:r>
        <w:rPr>
          <w:rFonts w:ascii="Times New Roman" w:cs="Times New Roman" w:eastAsia="Times New Roman" w:hAnsi="Times New Roman"/>
          <w:sz w:val="12"/>
          <w:szCs w:val="12"/>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79"/>
        <w:spacing w:after="0" w:line="267" w:lineRule="auto"/>
        <w:rPr>
          <w:sz w:val="20"/>
          <w:szCs w:val="20"/>
          <w:color w:val="auto"/>
        </w:rPr>
      </w:pPr>
      <w:r>
        <w:rPr>
          <w:rFonts w:ascii="Times New Roman" w:cs="Times New Roman" w:eastAsia="Times New Roman" w:hAnsi="Times New Roman"/>
          <w:sz w:val="12"/>
          <w:szCs w:val="12"/>
          <w:color w:val="auto"/>
        </w:rPr>
        <w:t>The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requires the Company to maintain a minimum availability at all times of not less than 10% of the gross borrowing base and contains customary events of default. The Revolving Line of Credit matures on May 27, 2027.</w:t>
      </w:r>
    </w:p>
    <w:p>
      <w:pPr>
        <w:spacing w:after="0" w:line="121" w:lineRule="exact"/>
        <w:rPr>
          <w:sz w:val="20"/>
          <w:szCs w:val="20"/>
          <w:color w:val="auto"/>
        </w:rPr>
      </w:pPr>
    </w:p>
    <w:p>
      <w:pPr>
        <w:ind w:left="20" w:right="119"/>
        <w:spacing w:after="0" w:line="267" w:lineRule="auto"/>
        <w:rPr>
          <w:sz w:val="20"/>
          <w:szCs w:val="20"/>
          <w:color w:val="auto"/>
        </w:rPr>
      </w:pPr>
      <w:r>
        <w:rPr>
          <w:rFonts w:ascii="Times New Roman" w:cs="Times New Roman" w:eastAsia="Times New Roman" w:hAnsi="Times New Roman"/>
          <w:sz w:val="12"/>
          <w:szCs w:val="12"/>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21" w:lineRule="exact"/>
        <w:rPr>
          <w:sz w:val="20"/>
          <w:szCs w:val="20"/>
          <w:color w:val="auto"/>
        </w:rPr>
      </w:pPr>
    </w:p>
    <w:p>
      <w:pPr>
        <w:jc w:val="both"/>
        <w:ind w:left="20" w:right="39"/>
        <w:spacing w:after="0" w:line="274" w:lineRule="auto"/>
        <w:rPr>
          <w:sz w:val="20"/>
          <w:szCs w:val="20"/>
          <w:color w:val="auto"/>
        </w:rPr>
      </w:pPr>
      <w:r>
        <w:rPr>
          <w:rFonts w:ascii="Times New Roman" w:cs="Times New Roman" w:eastAsia="Times New Roman" w:hAnsi="Times New Roman"/>
          <w:sz w:val="12"/>
          <w:szCs w:val="12"/>
          <w:color w:val="auto"/>
        </w:rPr>
        <w:t>As of July 30, 2022 and January 29, 2022, the Credit Agreement and the Company’s prior credit agreement had $733 and $333, respectively, in deferred financing fees. During the 13 and 26 weeks ended July 30, 2022, the Company recognized $46 and $108 of non-cash interest expense with respect to the amortization of deferred financing fees. During the 13 and 26 weeks ended July 31, 2021, the Company recognized $63 and $126 of non-cash interest expense with respect to the amortization of deferred financing fees.</w:t>
      </w:r>
    </w:p>
    <w:p>
      <w:pPr>
        <w:spacing w:after="0" w:line="115" w:lineRule="exact"/>
        <w:rPr>
          <w:sz w:val="20"/>
          <w:szCs w:val="20"/>
          <w:color w:val="auto"/>
        </w:rPr>
      </w:pPr>
    </w:p>
    <w:p>
      <w:pPr>
        <w:ind w:left="20" w:right="139"/>
        <w:spacing w:after="0" w:line="267" w:lineRule="auto"/>
        <w:rPr>
          <w:sz w:val="20"/>
          <w:szCs w:val="20"/>
          <w:color w:val="auto"/>
        </w:rPr>
      </w:pPr>
      <w:r>
        <w:rPr>
          <w:rFonts w:ascii="Times New Roman" w:cs="Times New Roman" w:eastAsia="Times New Roman" w:hAnsi="Times New Roman"/>
          <w:sz w:val="12"/>
          <w:szCs w:val="12"/>
          <w:color w:val="auto"/>
        </w:rPr>
        <w:t>For the 13 and 26 weeks ended July 30, 2022, gross borrowings under the Revolving Line of Credit and the Company’s prior revolving line of credit were $379,778 and $752,494, respectively. For the 13 and 26 weeks ended July 31, 2021 gross borrowing under the Company’s prior revolving line of credit were $434,702 and $792,180, respectively. For the 13 and 26 weeks ended July 30, 2022, gross paydowns under the Revolving Line of Credit and the Company’s prior revolving line of credit were $387,886 and $725,525, respectively. For the 13 and 26 weeks ended July 31, 2021, gross paydowns under the Company’s prior revolving line of credit were $397,830 and $755,470, respectively.</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Restricted Net Assets</w:t>
      </w:r>
    </w:p>
    <w:p>
      <w:pPr>
        <w:spacing w:after="0" w:line="85" w:lineRule="exact"/>
        <w:rPr>
          <w:sz w:val="20"/>
          <w:szCs w:val="20"/>
          <w:color w:val="auto"/>
        </w:rPr>
      </w:pPr>
    </w:p>
    <w:p>
      <w:pPr>
        <w:ind w:left="20" w:right="159"/>
        <w:spacing w:after="0" w:line="274" w:lineRule="auto"/>
        <w:rPr>
          <w:sz w:val="20"/>
          <w:szCs w:val="20"/>
          <w:color w:val="auto"/>
        </w:rPr>
      </w:pPr>
      <w:r>
        <w:rPr>
          <w:rFonts w:ascii="Times New Roman" w:cs="Times New Roman" w:eastAsia="Times New Roman" w:hAnsi="Times New Roman"/>
          <w:sz w:val="12"/>
          <w:szCs w:val="12"/>
          <w:color w:val="auto"/>
        </w:rPr>
        <w:t>The provisions of the Revolving Line of Credit restrict all of the net assets of the Company’s consolidated subsidiaries, which constitute all of the net assets on the Company’s condensed consolidated balance sheet as of July 30, 2022, from being used to pay any dividends without prior written consent from the financial institutions party to the Company’s Revolving Line of Credit.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Income Taxes</w:t>
      </w:r>
    </w:p>
    <w:p>
      <w:pPr>
        <w:spacing w:after="0" w:line="186" w:lineRule="exact"/>
        <w:rPr>
          <w:sz w:val="20"/>
          <w:szCs w:val="20"/>
          <w:color w:val="auto"/>
        </w:rPr>
      </w:pPr>
    </w:p>
    <w:p>
      <w:pPr>
        <w:ind w:left="20" w:right="39"/>
        <w:spacing w:after="0" w:line="266" w:lineRule="auto"/>
        <w:rPr>
          <w:sz w:val="20"/>
          <w:szCs w:val="20"/>
          <w:color w:val="auto"/>
        </w:rPr>
      </w:pPr>
      <w:r>
        <w:rPr>
          <w:rFonts w:ascii="Times New Roman" w:cs="Times New Roman" w:eastAsia="Times New Roman" w:hAnsi="Times New Roman"/>
          <w:sz w:val="12"/>
          <w:szCs w:val="12"/>
          <w:color w:val="auto"/>
        </w:rPr>
        <w:t>The Company recognized income tax expense of $5,135 and $6,195, respectively, in the 13 weeks ended July 30, 2022 and July 31, 2021. The Company’s effective tax rate for the 13 weeks ended July 30, 2022 and July 31, 2021 was 26.0% and 25.9%, respectively. The Company recognized income tax expense of $5,576 and $9,147, respectively, in the 26 weeks ended July 30, 2022 and July 31, 2021. The Company’s effective tax rate for the 26 weeks ended July 30, 2022 and July 31, 2021 was 25.1% and 24.5%, respectively. The Company’s effective tax rate will generally differ from the U.S. Federal statutory rate of 21.0%, due to state taxes, permanent items, and discrete items relating to stock award deductions.</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(9) Stockholder’s Equity</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Earnings per Share</w:t>
      </w:r>
    </w:p>
    <w:p>
      <w:pPr>
        <w:spacing w:after="0" w:line="85" w:lineRule="exact"/>
        <w:rPr>
          <w:sz w:val="20"/>
          <w:szCs w:val="20"/>
          <w:color w:val="auto"/>
        </w:rPr>
      </w:pPr>
    </w:p>
    <w:p>
      <w:pPr>
        <w:ind w:left="20" w:right="139"/>
        <w:spacing w:after="0" w:line="274" w:lineRule="auto"/>
        <w:rPr>
          <w:sz w:val="20"/>
          <w:szCs w:val="20"/>
          <w:color w:val="auto"/>
        </w:rPr>
      </w:pPr>
      <w:r>
        <w:rPr>
          <w:rFonts w:ascii="Times New Roman" w:cs="Times New Roman" w:eastAsia="Times New Roman" w:hAnsi="Times New Roman"/>
          <w:sz w:val="12"/>
          <w:szCs w:val="12"/>
          <w:color w:val="auto"/>
        </w:rPr>
        <w:t>Basic earnings per share is calculated by dividing net income by the weighted-average number of shares of common stock outstanding, reduced by the number of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4045" cy="1143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earnings per common share:</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4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80" w:type="dxa"/>
            <w:vAlign w:val="bottom"/>
          </w:tcPr>
          <w:p>
            <w:pPr>
              <w:spacing w:after="0"/>
              <w:rPr>
                <w:sz w:val="11"/>
                <w:szCs w:val="11"/>
                <w:color w:val="auto"/>
              </w:rPr>
            </w:pPr>
          </w:p>
        </w:tc>
      </w:tr>
      <w:tr>
        <w:trPr>
          <w:trHeight w:val="127"/>
        </w:trPr>
        <w:tc>
          <w:tcPr>
            <w:tcW w:w="4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3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22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220" w:type="dxa"/>
            <w:vAlign w:val="bottom"/>
          </w:tcPr>
          <w:p>
            <w:pPr>
              <w:spacing w:after="0"/>
              <w:rPr>
                <w:sz w:val="11"/>
                <w:szCs w:val="11"/>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151"/>
        </w:trPr>
        <w:tc>
          <w:tcPr>
            <w:tcW w:w="44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3"/>
                <w:szCs w:val="13"/>
                <w:color w:val="auto"/>
              </w:rPr>
            </w:pPr>
          </w:p>
        </w:tc>
      </w:tr>
      <w:tr>
        <w:trPr>
          <w:trHeight w:val="161"/>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14,614</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17,723</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16,612</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28,173</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35"/>
        </w:trPr>
        <w:tc>
          <w:tcPr>
            <w:tcW w:w="4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Weighted-average shares of common stock outstanding:</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41,962</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43,860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42,950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43,775</w:t>
            </w:r>
          </w:p>
        </w:tc>
        <w:tc>
          <w:tcPr>
            <w:tcW w:w="80" w:type="dxa"/>
            <w:vAlign w:val="bottom"/>
            <w:shd w:val="clear" w:color="auto" w:fill="CCEEFF"/>
          </w:tcPr>
          <w:p>
            <w:pPr>
              <w:spacing w:after="0"/>
              <w:rPr>
                <w:sz w:val="12"/>
                <w:szCs w:val="12"/>
                <w:color w:val="auto"/>
              </w:rPr>
            </w:pPr>
          </w:p>
        </w:tc>
      </w:tr>
      <w:tr>
        <w:trPr>
          <w:trHeight w:val="147"/>
        </w:trPr>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Dilutive effect of common stock equivalents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856</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825</w:t>
            </w:r>
          </w:p>
        </w:tc>
        <w:tc>
          <w:tcPr>
            <w:tcW w:w="80" w:type="dxa"/>
            <w:vAlign w:val="bottom"/>
            <w:tcBorders>
              <w:bottom w:val="single" w:sz="8" w:color="CCEEFF"/>
            </w:tcBorders>
          </w:tcPr>
          <w:p>
            <w:pPr>
              <w:spacing w:after="0"/>
              <w:rPr>
                <w:sz w:val="12"/>
                <w:szCs w:val="12"/>
                <w:color w:val="auto"/>
              </w:rPr>
            </w:pPr>
          </w:p>
        </w:tc>
      </w:tr>
      <w:tr>
        <w:trPr>
          <w:trHeight w:val="144"/>
        </w:trPr>
        <w:tc>
          <w:tcPr>
            <w:tcW w:w="4480" w:type="dxa"/>
            <w:vAlign w:val="bottom"/>
            <w:tcBorders>
              <w:bottom w:val="single" w:sz="8" w:color="CCEEFF"/>
            </w:tcBorders>
            <w:shd w:val="clear" w:color="auto" w:fill="CCEEFF"/>
          </w:tcPr>
          <w:p>
            <w:pPr>
              <w:ind w:left="160"/>
              <w:spacing w:after="0" w:line="136" w:lineRule="exact"/>
              <w:rPr>
                <w:sz w:val="20"/>
                <w:szCs w:val="20"/>
                <w:color w:val="auto"/>
              </w:rPr>
            </w:pPr>
            <w:r>
              <w:rPr>
                <w:rFonts w:ascii="Times New Roman" w:cs="Times New Roman" w:eastAsia="Times New Roman" w:hAnsi="Times New Roman"/>
                <w:sz w:val="12"/>
                <w:szCs w:val="12"/>
                <w:color w:val="auto"/>
              </w:rPr>
              <w:t>Diluted</w:t>
            </w: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42,194</w:t>
            </w: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44,716</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43,180</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44,600</w:t>
            </w:r>
          </w:p>
        </w:tc>
        <w:tc>
          <w:tcPr>
            <w:tcW w:w="80" w:type="dxa"/>
            <w:vAlign w:val="bottom"/>
            <w:tcBorders>
              <w:bottom w:val="single" w:sz="8" w:color="CCEEFF"/>
            </w:tcBorders>
            <w:shd w:val="clear" w:color="auto" w:fill="CCEEFF"/>
          </w:tcPr>
          <w:p>
            <w:pPr>
              <w:spacing w:after="0"/>
              <w:rPr>
                <w:sz w:val="12"/>
                <w:szCs w:val="12"/>
                <w:color w:val="auto"/>
              </w:rPr>
            </w:pPr>
          </w:p>
        </w:tc>
      </w:tr>
      <w:tr>
        <w:trPr>
          <w:trHeight w:val="155"/>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0.64</w:t>
            </w:r>
          </w:p>
        </w:tc>
        <w:tc>
          <w:tcPr>
            <w:tcW w:w="80" w:type="dxa"/>
            <w:vAlign w:val="bottom"/>
            <w:tcBorders>
              <w:bottom w:val="single" w:sz="8" w:color="CCEEFF"/>
            </w:tcBorders>
          </w:tcPr>
          <w:p>
            <w:pPr>
              <w:spacing w:after="0"/>
              <w:rPr>
                <w:sz w:val="13"/>
                <w:szCs w:val="13"/>
                <w:color w:val="auto"/>
              </w:rPr>
            </w:pPr>
          </w:p>
        </w:tc>
      </w:tr>
      <w:tr>
        <w:trPr>
          <w:trHeight w:val="155"/>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55"/>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units considered anti-dilutive and excluded in the calculation</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r>
    </w:tbl>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Treasury Stock</w:t>
      </w:r>
    </w:p>
    <w:p>
      <w:pPr>
        <w:spacing w:after="0" w:line="158" w:lineRule="exact"/>
        <w:rPr>
          <w:sz w:val="20"/>
          <w:szCs w:val="20"/>
          <w:color w:val="auto"/>
        </w:rPr>
      </w:pPr>
    </w:p>
    <w:p>
      <w:pPr>
        <w:ind w:left="20" w:right="59"/>
        <w:spacing w:after="0" w:line="267" w:lineRule="auto"/>
        <w:rPr>
          <w:sz w:val="20"/>
          <w:szCs w:val="20"/>
          <w:color w:val="auto"/>
        </w:rPr>
      </w:pPr>
      <w:r>
        <w:rPr>
          <w:rFonts w:ascii="Times New Roman" w:cs="Times New Roman" w:eastAsia="Times New Roman" w:hAnsi="Times New Roman"/>
          <w:sz w:val="12"/>
          <w:szCs w:val="12"/>
          <w:color w:val="auto"/>
        </w:rPr>
        <w:t>On March 24, 2022 the Company announced that its Board of Directors authorized a share repurchase program (the “Repurchase Program”) to allow for the repurchase of up to $75.0 million outstanding shares of the Company’s common stock, $.01 par value per share commencing on March 31, 2022 (the “Commencement Date”). The Repurchase Program will terminate on the first anniversary of the Commencement Date. During the 13 weeks ended July 30, 2022 the Company repurchased approximately 5.3 million shares of its common stock for $52.1 million, utilizing cash on hand.</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(10) Stock-Based Compensation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85" w:lineRule="exact"/>
        <w:rPr>
          <w:sz w:val="20"/>
          <w:szCs w:val="20"/>
          <w:color w:val="auto"/>
        </w:rPr>
      </w:pPr>
    </w:p>
    <w:p>
      <w:pPr>
        <w:ind w:left="20" w:right="99"/>
        <w:spacing w:after="0" w:line="274" w:lineRule="auto"/>
        <w:rPr>
          <w:sz w:val="20"/>
          <w:szCs w:val="20"/>
          <w:color w:val="auto"/>
        </w:rPr>
      </w:pPr>
      <w:r>
        <w:rPr>
          <w:rFonts w:ascii="Times New Roman" w:cs="Times New Roman" w:eastAsia="Times New Roman" w:hAnsi="Times New Roman"/>
          <w:sz w:val="12"/>
          <w:szCs w:val="12"/>
          <w:color w:val="auto"/>
        </w:rPr>
        <w:t>During the 13 and 26 weeks ended July 30, 2022 the Company recognized total stock-based compensation expense of $1,091 and $2,449. During the 13 and 26 weeks ended July 31, 2021, the Company recognized total stock-based compensation expense of $1,027 and $2,043. Compensation expense related to the Company's stock-based payment awards is recognized in selling, general, and administrative expenses in the condensed consolidated statements of operations.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Employee Stock Plans</w:t>
      </w:r>
    </w:p>
    <w:p>
      <w:pPr>
        <w:spacing w:after="0" w:line="158" w:lineRule="exact"/>
        <w:rPr>
          <w:sz w:val="20"/>
          <w:szCs w:val="20"/>
          <w:color w:val="auto"/>
        </w:rPr>
      </w:pPr>
    </w:p>
    <w:p>
      <w:pPr>
        <w:ind w:left="20" w:right="439"/>
        <w:spacing w:after="0" w:line="292" w:lineRule="auto"/>
        <w:rPr>
          <w:sz w:val="20"/>
          <w:szCs w:val="20"/>
          <w:color w:val="auto"/>
        </w:rPr>
      </w:pPr>
      <w:r>
        <w:rPr>
          <w:rFonts w:ascii="Times New Roman" w:cs="Times New Roman" w:eastAsia="Times New Roman" w:hAnsi="Times New Roman"/>
          <w:sz w:val="12"/>
          <w:szCs w:val="12"/>
          <w:color w:val="auto"/>
        </w:rPr>
        <w:t>As of July 30, 2022, the number of shares available for awards under the 2019 Performance Incentive Plan (the “2019 Plan”) was 1,637. As of July 30, 2022, there were 1,366 unvested stock awards outstanding under the 2019 Plan.</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Employee Stock Purchase Plan</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Company also has an Employee Stock Purchase Plan (“ESPP”) that was approved by shareholders in fiscal year 2015, under which 800 shares of common stock were authorized.</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13 weeks ended July 30, 2022, 64 shares were issued under the ESPP and, as of July 30, 2022, the number of shares available for issuance was 310.</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Nonvested Performance-Based Stock Awards</w:t>
      </w:r>
    </w:p>
    <w:p>
      <w:pPr>
        <w:spacing w:after="0" w:line="85" w:lineRule="exact"/>
        <w:rPr>
          <w:sz w:val="20"/>
          <w:szCs w:val="20"/>
          <w:color w:val="auto"/>
        </w:rPr>
      </w:pPr>
    </w:p>
    <w:p>
      <w:pPr>
        <w:ind w:left="20" w:right="99"/>
        <w:spacing w:after="0" w:line="261" w:lineRule="auto"/>
        <w:rPr>
          <w:sz w:val="20"/>
          <w:szCs w:val="20"/>
          <w:color w:val="auto"/>
        </w:rPr>
      </w:pPr>
      <w:r>
        <w:rPr>
          <w:rFonts w:ascii="Times New Roman" w:cs="Times New Roman" w:eastAsia="Times New Roman" w:hAnsi="Times New Roman"/>
          <w:sz w:val="12"/>
          <w:szCs w:val="12"/>
          <w:color w:val="auto"/>
        </w:rPr>
        <w:t>During the 13 weeks ended July 30, 2022, the Company issued 47 nonvested performance-based stock awards to employees at a weighted average grant date fair value of $9.65 per share. During the 26 weeks ended July 30, 2022, the Company issued 188 nonvested performance-based stock awards to employees at a weighted average grant date fair value of $10.88 per share. The nonvested performance-based stock awards issued to employees vest in full on the third anniversary of the grant date. The number of shares issued is contingent on management achieving fiscal year 2022, 2023, and 2024 performance targets for total revenue growth and adjusted EPS. If minimum threshold performance targets are not achieved, no shares will vest. The maximum number of shares subject to the award is 376, and the “target” number of shares subject to the award is 188 as reported below. Following the end of the performance period (fiscal years 2022, 2023, and 2024), the number of shares eligible to vest, based on actual performance, will be fixed and vesting will then be subject to each employee’s continued employment over the remaining service period.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During the 13 weeks ended July 31, 2021, the Company did not issue any nonvested performance-based stock awards.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sets forth the rollforward of outstanding nonvested performance-based stock awards (per share amounts are not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Weighted</w:t>
            </w:r>
          </w:p>
        </w:tc>
      </w:tr>
      <w:tr>
        <w:trPr>
          <w:trHeight w:val="147"/>
        </w:trPr>
        <w:tc>
          <w:tcPr>
            <w:tcW w:w="6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5"/>
              </w:rPr>
              <w:t>average</w:t>
            </w:r>
          </w:p>
        </w:tc>
      </w:tr>
      <w:tr>
        <w:trPr>
          <w:trHeight w:val="147"/>
        </w:trPr>
        <w:tc>
          <w:tcPr>
            <w:tcW w:w="6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grant-date</w:t>
            </w:r>
          </w:p>
        </w:tc>
      </w:tr>
      <w:tr>
        <w:trPr>
          <w:trHeight w:val="154"/>
        </w:trPr>
        <w:tc>
          <w:tcPr>
            <w:tcW w:w="69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fair value</w:t>
            </w:r>
          </w:p>
        </w:tc>
      </w:tr>
      <w:tr>
        <w:trPr>
          <w:trHeight w:val="14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29, 2022</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10.88</w:t>
            </w:r>
          </w:p>
        </w:tc>
      </w:tr>
      <w:tr>
        <w:trPr>
          <w:trHeight w:val="147"/>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(168)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r>
      <w:tr>
        <w:trPr>
          <w:trHeight w:val="144"/>
        </w:trPr>
        <w:tc>
          <w:tcPr>
            <w:tcW w:w="696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Balance at July 30, 2022</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418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8.31</w:t>
            </w:r>
          </w:p>
        </w:tc>
      </w:tr>
      <w:tr>
        <w:trPr>
          <w:trHeight w:val="276"/>
        </w:trPr>
        <w:tc>
          <w:tcPr>
            <w:tcW w:w="6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Weighted</w:t>
            </w:r>
          </w:p>
        </w:tc>
      </w:tr>
      <w:tr>
        <w:trPr>
          <w:trHeight w:val="147"/>
        </w:trPr>
        <w:tc>
          <w:tcPr>
            <w:tcW w:w="6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5"/>
              </w:rPr>
              <w:t>average</w:t>
            </w:r>
          </w:p>
        </w:tc>
      </w:tr>
      <w:tr>
        <w:trPr>
          <w:trHeight w:val="147"/>
        </w:trPr>
        <w:tc>
          <w:tcPr>
            <w:tcW w:w="6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grant-date</w:t>
            </w:r>
          </w:p>
        </w:tc>
      </w:tr>
      <w:tr>
        <w:trPr>
          <w:trHeight w:val="154"/>
        </w:trPr>
        <w:tc>
          <w:tcPr>
            <w:tcW w:w="69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fair value</w:t>
            </w:r>
          </w:p>
        </w:tc>
      </w:tr>
      <w:tr>
        <w:trPr>
          <w:trHeight w:val="14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30, 2021</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r>
      <w:tr>
        <w:trPr>
          <w:trHeight w:val="144"/>
        </w:trPr>
        <w:tc>
          <w:tcPr>
            <w:tcW w:w="696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Balance at July 31, 2021</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589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5.13</w:t>
            </w:r>
          </w:p>
        </w:tc>
      </w:tr>
    </w:tbl>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Nonvested Stock Unit Awards</w:t>
      </w:r>
    </w:p>
    <w:p>
      <w:pPr>
        <w:spacing w:after="0" w:line="85" w:lineRule="exact"/>
        <w:rPr>
          <w:sz w:val="20"/>
          <w:szCs w:val="20"/>
          <w:color w:val="auto"/>
        </w:rPr>
      </w:pPr>
    </w:p>
    <w:p>
      <w:pPr>
        <w:jc w:val="both"/>
        <w:ind w:left="20" w:right="259"/>
        <w:spacing w:after="0" w:line="274" w:lineRule="auto"/>
        <w:rPr>
          <w:sz w:val="20"/>
          <w:szCs w:val="20"/>
          <w:color w:val="auto"/>
        </w:rPr>
      </w:pPr>
      <w:r>
        <w:rPr>
          <w:rFonts w:ascii="Times New Roman" w:cs="Times New Roman" w:eastAsia="Times New Roman" w:hAnsi="Times New Roman"/>
          <w:sz w:val="12"/>
          <w:szCs w:val="12"/>
          <w:color w:val="auto"/>
        </w:rPr>
        <w:t>During the 13 and 26 weeks ended July 30, 2022, the Company issued 110 and 418 nonvested stock units, respectively, to employees and directors of the Company at an average value of $9.51 and $10.82 per share, respectively. The shares issued to employees of the Company vest over a three-year period with one third of the shares vesting on each grant date anniversary. The shares issued to directors of the Company vest over a 12 month period with one twelfth of the shares vesting each month.</w:t>
      </w:r>
    </w:p>
    <w:p>
      <w:pPr>
        <w:spacing w:after="0" w:line="42" w:lineRule="exact"/>
        <w:rPr>
          <w:sz w:val="20"/>
          <w:szCs w:val="20"/>
          <w:color w:val="auto"/>
        </w:rPr>
      </w:pPr>
    </w:p>
    <w:p>
      <w:pPr>
        <w:jc w:val="both"/>
        <w:ind w:left="20" w:right="259"/>
        <w:spacing w:after="0" w:line="292" w:lineRule="auto"/>
        <w:rPr>
          <w:sz w:val="20"/>
          <w:szCs w:val="20"/>
          <w:color w:val="auto"/>
        </w:rPr>
      </w:pPr>
      <w:r>
        <w:rPr>
          <w:rFonts w:ascii="Times New Roman" w:cs="Times New Roman" w:eastAsia="Times New Roman" w:hAnsi="Times New Roman"/>
          <w:sz w:val="12"/>
          <w:szCs w:val="12"/>
          <w:color w:val="auto"/>
        </w:rPr>
        <w:t>During the 13 weeks ended July 31, 2021, the Company issued 28 nonvested stock units to directors of the Company at an average value of $17.77 per share. The shares issued to directors of the Company vest over a 12 month period with one twelfth of the shares vesting each month.</w:t>
      </w:r>
    </w:p>
    <w:p>
      <w:pPr>
        <w:spacing w:after="0" w:line="32" w:lineRule="exact"/>
        <w:rPr>
          <w:sz w:val="20"/>
          <w:szCs w:val="20"/>
          <w:color w:val="auto"/>
        </w:rPr>
      </w:pPr>
    </w:p>
    <w:p>
      <w:pPr>
        <w:ind w:left="20" w:right="239"/>
        <w:spacing w:after="0" w:line="274" w:lineRule="auto"/>
        <w:rPr>
          <w:sz w:val="20"/>
          <w:szCs w:val="20"/>
          <w:color w:val="auto"/>
        </w:rPr>
      </w:pPr>
      <w:r>
        <w:rPr>
          <w:rFonts w:ascii="Times New Roman" w:cs="Times New Roman" w:eastAsia="Times New Roman" w:hAnsi="Times New Roman"/>
          <w:sz w:val="12"/>
          <w:szCs w:val="12"/>
          <w:color w:val="auto"/>
        </w:rPr>
        <w:t>During the 26 weeks ended July 31, 2021, the Company issued 249 nonvested stock units to employees and directors of the Company at an average value of $17.33 per share. The shares issued to employees of the Company vest over a three year period with one third of the shares vesting on each grant date anniversary. The shares issued to directors of the Company vest over a 12 month period with one twelfth of the shares vesting each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sets forth the rollforward of outstanding nonvested stock units (per share amounts are not in thousands):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Weighted</w:t>
            </w:r>
          </w:p>
        </w:tc>
      </w:tr>
      <w:tr>
        <w:trPr>
          <w:trHeight w:val="138"/>
        </w:trPr>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5"/>
              </w:rPr>
              <w:t>average</w:t>
            </w:r>
          </w:p>
        </w:tc>
      </w:tr>
      <w:tr>
        <w:trPr>
          <w:trHeight w:val="138"/>
        </w:trPr>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grant-date</w:t>
            </w:r>
          </w:p>
        </w:tc>
      </w:tr>
      <w:tr>
        <w:trPr>
          <w:trHeight w:val="138"/>
        </w:trPr>
        <w:tc>
          <w:tcPr>
            <w:tcW w:w="696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fair value</w:t>
            </w:r>
          </w:p>
        </w:tc>
      </w:tr>
      <w:tr>
        <w:trPr>
          <w:trHeight w:val="14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29, 2022</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r>
      <w:tr>
        <w:trPr>
          <w:trHeight w:val="147"/>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(139)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(260)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8.19</w:t>
            </w:r>
          </w:p>
        </w:tc>
      </w:tr>
      <w:tr>
        <w:trPr>
          <w:trHeight w:val="144"/>
        </w:trPr>
        <w:tc>
          <w:tcPr>
            <w:tcW w:w="696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Balance at July 30, 2022</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948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12.18</w:t>
            </w:r>
          </w:p>
        </w:tc>
      </w:tr>
      <w:tr>
        <w:trPr>
          <w:trHeight w:val="276"/>
        </w:trPr>
        <w:tc>
          <w:tcPr>
            <w:tcW w:w="6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Weighted</w:t>
            </w:r>
          </w:p>
        </w:tc>
      </w:tr>
      <w:tr>
        <w:trPr>
          <w:trHeight w:val="138"/>
        </w:trPr>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5"/>
              </w:rPr>
              <w:t>average</w:t>
            </w:r>
          </w:p>
        </w:tc>
      </w:tr>
      <w:tr>
        <w:trPr>
          <w:trHeight w:val="138"/>
        </w:trPr>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grant-date</w:t>
            </w:r>
          </w:p>
        </w:tc>
      </w:tr>
      <w:tr>
        <w:trPr>
          <w:trHeight w:val="138"/>
        </w:trPr>
        <w:tc>
          <w:tcPr>
            <w:tcW w:w="696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7"/>
              </w:rPr>
              <w:t>fair value</w:t>
            </w:r>
          </w:p>
        </w:tc>
      </w:tr>
      <w:tr>
        <w:trPr>
          <w:trHeight w:val="14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30, 2021</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17.33</w:t>
            </w:r>
          </w:p>
        </w:tc>
      </w:tr>
      <w:tr>
        <w:trPr>
          <w:trHeight w:val="147"/>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w:t>
            </w:r>
          </w:p>
        </w:tc>
      </w:tr>
      <w:tr>
        <w:trPr>
          <w:trHeight w:val="14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(325)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r>
      <w:tr>
        <w:trPr>
          <w:trHeight w:val="144"/>
        </w:trPr>
        <w:tc>
          <w:tcPr>
            <w:tcW w:w="696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Balance at July 31, 2021</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665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9.45</w:t>
            </w:r>
          </w:p>
        </w:tc>
      </w:tr>
    </w:tbl>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Fair Value Measurements</w:t>
      </w:r>
    </w:p>
    <w:p>
      <w:pPr>
        <w:spacing w:after="0" w:line="158" w:lineRule="exact"/>
        <w:rPr>
          <w:sz w:val="20"/>
          <w:szCs w:val="20"/>
          <w:color w:val="auto"/>
        </w:rPr>
      </w:pPr>
    </w:p>
    <w:p>
      <w:pPr>
        <w:ind w:left="20" w:right="39"/>
        <w:spacing w:after="0" w:line="274" w:lineRule="auto"/>
        <w:rPr>
          <w:sz w:val="20"/>
          <w:szCs w:val="20"/>
          <w:color w:val="auto"/>
        </w:rPr>
      </w:pPr>
      <w:r>
        <w:rPr>
          <w:rFonts w:ascii="Times New Roman" w:cs="Times New Roman" w:eastAsia="Times New Roman" w:hAnsi="Times New Roman"/>
          <w:sz w:val="12"/>
          <w:szCs w:val="12"/>
          <w:color w:val="auto"/>
        </w:rPr>
        <w:t>Fair value measurements are reported based upon three categories, with the lowest level of measurement available applied. The levels of fair value measurement are as follows: Level 1 - quoted prices on active markets; Level 2 - observable market inputs other than quoted prices on active markets; Level 3 - unobservable data requiring the Company to develop its own approach that cannot be corroborated by market data.</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shows the fair value measurements of the Company on a recurring basis: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7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w:t>
            </w:r>
          </w:p>
        </w:tc>
        <w:tc>
          <w:tcPr>
            <w:tcW w:w="230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Type</w:t>
            </w:r>
          </w:p>
        </w:tc>
        <w:tc>
          <w:tcPr>
            <w:tcW w:w="18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Measurement Level</w:t>
            </w:r>
          </w:p>
        </w:tc>
        <w:tc>
          <w:tcPr>
            <w:tcW w:w="1220" w:type="dxa"/>
            <w:vAlign w:val="bottom"/>
            <w:tcBorders>
              <w:bottom w:val="single" w:sz="8" w:color="auto"/>
            </w:tcBorders>
          </w:tcPr>
          <w:p>
            <w:pPr>
              <w:jc w:val="center"/>
              <w:ind w:left="187"/>
              <w:spacing w:after="0"/>
              <w:rPr>
                <w:sz w:val="20"/>
                <w:szCs w:val="20"/>
                <w:color w:val="auto"/>
              </w:rPr>
            </w:pPr>
            <w:r>
              <w:rPr>
                <w:rFonts w:ascii="Times New Roman" w:cs="Times New Roman" w:eastAsia="Times New Roman" w:hAnsi="Times New Roman"/>
                <w:sz w:val="10"/>
                <w:szCs w:val="10"/>
                <w:b w:val="1"/>
                <w:bCs w:val="1"/>
                <w:color w:val="auto"/>
                <w:w w:val="96"/>
              </w:rPr>
              <w:t>Fair Value as of</w:t>
            </w:r>
          </w:p>
        </w:tc>
        <w:tc>
          <w:tcPr>
            <w:tcW w:w="5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0"/>
                <w:szCs w:val="10"/>
                <w:b w:val="1"/>
                <w:bCs w:val="1"/>
                <w:color w:val="auto"/>
                <w:w w:val="96"/>
              </w:rPr>
              <w:t>Fair Value as of</w:t>
            </w:r>
          </w:p>
        </w:tc>
        <w:tc>
          <w:tcPr>
            <w:tcW w:w="0" w:type="dxa"/>
            <w:vAlign w:val="bottom"/>
          </w:tcPr>
          <w:p>
            <w:pPr>
              <w:spacing w:after="0"/>
              <w:rPr>
                <w:sz w:val="1"/>
                <w:szCs w:val="1"/>
                <w:color w:val="auto"/>
              </w:rPr>
            </w:pPr>
          </w:p>
        </w:tc>
      </w:tr>
      <w:tr>
        <w:trPr>
          <w:trHeight w:val="90"/>
        </w:trPr>
        <w:tc>
          <w:tcPr>
            <w:tcW w:w="1740" w:type="dxa"/>
            <w:vAlign w:val="bottom"/>
            <w:tcBorders>
              <w:bottom w:val="single" w:sz="8" w:color="auto"/>
            </w:tcBorders>
            <w:vMerge w:val="continue"/>
          </w:tcPr>
          <w:p>
            <w:pPr>
              <w:spacing w:after="0"/>
              <w:rPr>
                <w:sz w:val="7"/>
                <w:szCs w:val="7"/>
                <w:color w:val="auto"/>
              </w:rPr>
            </w:pPr>
          </w:p>
        </w:tc>
        <w:tc>
          <w:tcPr>
            <w:tcW w:w="2300" w:type="dxa"/>
            <w:vAlign w:val="bottom"/>
            <w:tcBorders>
              <w:bottom w:val="single" w:sz="8" w:color="auto"/>
            </w:tcBorders>
            <w:vMerge w:val="continue"/>
          </w:tcPr>
          <w:p>
            <w:pPr>
              <w:spacing w:after="0"/>
              <w:rPr>
                <w:sz w:val="7"/>
                <w:szCs w:val="7"/>
                <w:color w:val="auto"/>
              </w:rPr>
            </w:pPr>
          </w:p>
        </w:tc>
        <w:tc>
          <w:tcPr>
            <w:tcW w:w="188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tcPr>
          <w:p>
            <w:pPr>
              <w:jc w:val="center"/>
              <w:ind w:left="187"/>
              <w:spacing w:after="0" w:line="91" w:lineRule="exact"/>
              <w:rPr>
                <w:sz w:val="20"/>
                <w:szCs w:val="20"/>
                <w:color w:val="auto"/>
              </w:rPr>
            </w:pPr>
            <w:r>
              <w:rPr>
                <w:rFonts w:ascii="Times New Roman" w:cs="Times New Roman" w:eastAsia="Times New Roman" w:hAnsi="Times New Roman"/>
                <w:sz w:val="10"/>
                <w:szCs w:val="10"/>
                <w:b w:val="1"/>
                <w:bCs w:val="1"/>
                <w:color w:val="auto"/>
                <w:w w:val="96"/>
              </w:rPr>
              <w:t>July 30, 2022</w:t>
            </w:r>
          </w:p>
        </w:tc>
        <w:tc>
          <w:tcPr>
            <w:tcW w:w="5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jc w:val="center"/>
              <w:ind w:right="147"/>
              <w:spacing w:after="0" w:line="91" w:lineRule="exact"/>
              <w:rPr>
                <w:sz w:val="20"/>
                <w:szCs w:val="20"/>
                <w:color w:val="auto"/>
              </w:rPr>
            </w:pPr>
            <w:r>
              <w:rPr>
                <w:rFonts w:ascii="Times New Roman" w:cs="Times New Roman" w:eastAsia="Times New Roman" w:hAnsi="Times New Roman"/>
                <w:sz w:val="10"/>
                <w:szCs w:val="10"/>
                <w:b w:val="1"/>
                <w:bCs w:val="1"/>
                <w:color w:val="auto"/>
                <w:w w:val="98"/>
              </w:rPr>
              <w:t>January 29, 2022</w:t>
            </w:r>
          </w:p>
        </w:tc>
        <w:tc>
          <w:tcPr>
            <w:tcW w:w="0" w:type="dxa"/>
            <w:vAlign w:val="bottom"/>
          </w:tcPr>
          <w:p>
            <w:pPr>
              <w:spacing w:after="0"/>
              <w:rPr>
                <w:sz w:val="1"/>
                <w:szCs w:val="1"/>
                <w:color w:val="auto"/>
              </w:rPr>
            </w:pPr>
          </w:p>
        </w:tc>
      </w:tr>
      <w:tr>
        <w:trPr>
          <w:trHeight w:val="136"/>
        </w:trPr>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Short-term Investments (1)</w:t>
            </w:r>
          </w:p>
        </w:tc>
        <w:tc>
          <w:tcPr>
            <w:tcW w:w="2300" w:type="dxa"/>
            <w:vAlign w:val="bottom"/>
            <w:shd w:val="clear" w:color="auto" w:fill="CCEEFF"/>
          </w:tcPr>
          <w:p>
            <w:pPr>
              <w:ind w:left="400"/>
              <w:spacing w:after="0" w:line="136" w:lineRule="exact"/>
              <w:rPr>
                <w:sz w:val="20"/>
                <w:szCs w:val="20"/>
                <w:color w:val="auto"/>
              </w:rPr>
            </w:pPr>
            <w:r>
              <w:rPr>
                <w:rFonts w:ascii="Times New Roman" w:cs="Times New Roman" w:eastAsia="Times New Roman" w:hAnsi="Times New Roman"/>
                <w:sz w:val="12"/>
                <w:szCs w:val="12"/>
                <w:color w:val="auto"/>
              </w:rPr>
              <w:t>Cash and Cash Equivalents (2)</w:t>
            </w:r>
          </w:p>
        </w:tc>
        <w:tc>
          <w:tcPr>
            <w:tcW w:w="1880" w:type="dxa"/>
            <w:vAlign w:val="bottom"/>
            <w:shd w:val="clear" w:color="auto" w:fill="CCEEFF"/>
          </w:tcPr>
          <w:p>
            <w:pPr>
              <w:ind w:left="380"/>
              <w:spacing w:after="0" w:line="136" w:lineRule="exact"/>
              <w:rPr>
                <w:sz w:val="20"/>
                <w:szCs w:val="20"/>
                <w:color w:val="auto"/>
              </w:rPr>
            </w:pPr>
            <w:r>
              <w:rPr>
                <w:rFonts w:ascii="Times New Roman" w:cs="Times New Roman" w:eastAsia="Times New Roman" w:hAnsi="Times New Roman"/>
                <w:sz w:val="12"/>
                <w:szCs w:val="12"/>
                <w:color w:val="auto"/>
              </w:rPr>
              <w:t>Level 1</w:t>
            </w:r>
          </w:p>
        </w:tc>
        <w:tc>
          <w:tcPr>
            <w:tcW w:w="1220" w:type="dxa"/>
            <w:vAlign w:val="bottom"/>
            <w:shd w:val="clear" w:color="auto" w:fill="CCEEFF"/>
          </w:tcPr>
          <w:p>
            <w:pPr>
              <w:jc w:val="right"/>
              <w:ind w:right="1087"/>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99"/>
              <w:spacing w:after="0" w:line="13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80" w:hanging="218"/>
        <w:spacing w:after="0"/>
        <w:tabs>
          <w:tab w:leader="none" w:pos="4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 value approximates carrying value because maturities are less than three months.</w:t>
      </w:r>
    </w:p>
    <w:p>
      <w:pPr>
        <w:spacing w:after="0" w:line="21"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equivalents are money market funds held by the Company.</w:t>
      </w:r>
    </w:p>
    <w:p>
      <w:pPr>
        <w:spacing w:after="0" w:line="200" w:lineRule="exact"/>
        <w:rPr>
          <w:rFonts w:ascii="Times New Roman" w:cs="Times New Roman" w:eastAsia="Times New Roman" w:hAnsi="Times New Roman"/>
          <w:sz w:val="12"/>
          <w:szCs w:val="12"/>
          <w:color w:val="auto"/>
        </w:rPr>
      </w:pPr>
    </w:p>
    <w:p>
      <w:pPr>
        <w:spacing w:after="0" w:line="263" w:lineRule="exact"/>
        <w:rPr>
          <w:rFonts w:ascii="Times New Roman" w:cs="Times New Roman" w:eastAsia="Times New Roman" w:hAnsi="Times New Roman"/>
          <w:sz w:val="12"/>
          <w:szCs w:val="12"/>
          <w:color w:val="auto"/>
        </w:rPr>
      </w:pPr>
    </w:p>
    <w:p>
      <w:pPr>
        <w:ind w:left="260" w:hanging="237"/>
        <w:spacing w:after="0"/>
        <w:tabs>
          <w:tab w:leader="none" w:pos="26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85" w:lineRule="exact"/>
        <w:rPr>
          <w:sz w:val="20"/>
          <w:szCs w:val="20"/>
          <w:color w:val="auto"/>
        </w:rPr>
      </w:pPr>
    </w:p>
    <w:p>
      <w:pPr>
        <w:ind w:left="20" w:right="319"/>
        <w:spacing w:after="0" w:line="292" w:lineRule="auto"/>
        <w:rPr>
          <w:sz w:val="20"/>
          <w:szCs w:val="20"/>
          <w:color w:val="auto"/>
        </w:rPr>
      </w:pPr>
      <w:r>
        <w:rPr>
          <w:rFonts w:ascii="Times New Roman" w:cs="Times New Roman" w:eastAsia="Times New Roman" w:hAnsi="Times New Roman"/>
          <w:sz w:val="12"/>
          <w:szCs w:val="12"/>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131" w:lineRule="exact"/>
        <w:rPr>
          <w:sz w:val="20"/>
          <w:szCs w:val="20"/>
          <w:color w:val="auto"/>
        </w:rPr>
      </w:pPr>
    </w:p>
    <w:p>
      <w:pPr>
        <w:ind w:left="20" w:right="179"/>
        <w:spacing w:after="0" w:line="265" w:lineRule="auto"/>
        <w:rPr>
          <w:sz w:val="20"/>
          <w:szCs w:val="20"/>
          <w:color w:val="auto"/>
        </w:rPr>
      </w:pPr>
      <w:r>
        <w:rPr>
          <w:rFonts w:ascii="Times New Roman" w:cs="Times New Roman" w:eastAsia="Times New Roman" w:hAnsi="Times New Roman"/>
          <w:sz w:val="12"/>
          <w:szCs w:val="12"/>
          <w:i w:val="1"/>
          <w:iCs w:val="1"/>
          <w:color w:val="auto"/>
        </w:rPr>
        <w:t>TMS McCarthy, LP, Etc., Pltf. v. Sportsman’s Warehouse Southwest, Inc. Etc. Et Al., Dfts.</w:t>
      </w:r>
      <w:r>
        <w:rPr>
          <w:rFonts w:ascii="Times New Roman" w:cs="Times New Roman" w:eastAsia="Times New Roman" w:hAnsi="Times New Roman"/>
          <w:sz w:val="12"/>
          <w:szCs w:val="12"/>
          <w:color w:val="auto"/>
        </w:rPr>
        <w:t>- On June 23, 2020 TMS McCarthy, LP filed a complaint in the Superior Court of CA,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County of Santa Clara against Sportsman’s Warehouse Southwest, Inc., a wholly owned subsidiary of Sportsman’s Warehouse Holdings Inc., claiming the Company wrongfully terminated the lease relating to one of its stores. The Company believes the plaintiffs’ complaint is without merit based on the plain language of the lease at issue and on August 14, 2020 filed a counterclaim for declaratory relief. No reasonable estimate of the amount of any potential losses or range of potential losses relating to this matter can be determined at this time.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6" w:lineRule="exact"/>
        <w:rPr>
          <w:sz w:val="20"/>
          <w:szCs w:val="20"/>
          <w:color w:val="auto"/>
        </w:rPr>
      </w:pPr>
    </w:p>
    <w:p>
      <w:pPr>
        <w:ind w:left="20" w:right="299"/>
        <w:spacing w:after="0" w:line="275" w:lineRule="auto"/>
        <w:rPr>
          <w:sz w:val="20"/>
          <w:szCs w:val="20"/>
          <w:color w:val="auto"/>
        </w:rPr>
      </w:pPr>
      <w:r>
        <w:rPr>
          <w:rFonts w:ascii="Times New Roman" w:cs="Times New Roman" w:eastAsia="Times New Roman" w:hAnsi="Times New Roman"/>
          <w:sz w:val="12"/>
          <w:szCs w:val="12"/>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“Part I. Item 1A. Risk Factors” in our Fiscal 2021 Form 10-K. Also see “Statement Regarding Forward-Looking Statements” preceding Part I in this 10-Q.</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the unaudited condensed consolidated financial statements and the notes thereto included in this 10-Q.</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8" w:lineRule="exact"/>
        <w:rPr>
          <w:sz w:val="20"/>
          <w:szCs w:val="20"/>
          <w:color w:val="auto"/>
        </w:rPr>
      </w:pPr>
    </w:p>
    <w:p>
      <w:pPr>
        <w:ind w:left="20" w:right="139"/>
        <w:spacing w:after="0" w:line="292" w:lineRule="auto"/>
        <w:rPr>
          <w:sz w:val="20"/>
          <w:szCs w:val="20"/>
          <w:color w:val="auto"/>
        </w:rPr>
      </w:pPr>
      <w:r>
        <w:rPr>
          <w:rFonts w:ascii="Times New Roman" w:cs="Times New Roman" w:eastAsia="Times New Roman" w:hAnsi="Times New Roman"/>
          <w:sz w:val="12"/>
          <w:szCs w:val="12"/>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05" w:lineRule="exact"/>
        <w:rPr>
          <w:sz w:val="20"/>
          <w:szCs w:val="20"/>
          <w:color w:val="auto"/>
        </w:rPr>
      </w:pPr>
    </w:p>
    <w:p>
      <w:pPr>
        <w:ind w:left="20" w:right="99"/>
        <w:spacing w:after="0" w:line="292" w:lineRule="auto"/>
        <w:rPr>
          <w:sz w:val="20"/>
          <w:szCs w:val="20"/>
          <w:color w:val="auto"/>
        </w:rPr>
      </w:pPr>
      <w:r>
        <w:rPr>
          <w:rFonts w:ascii="Times New Roman" w:cs="Times New Roman" w:eastAsia="Times New Roman" w:hAnsi="Times New Roman"/>
          <w:sz w:val="12"/>
          <w:szCs w:val="12"/>
          <w:color w:val="auto"/>
        </w:rPr>
        <w:t xml:space="preserve">Our business was founded in 1986 as a single retail store in Midvale, Utah. Today, we operate 127 stores in 29 states, totaling approximately 4.8 million gross square feet. We list the locations of our stores on our website, </w:t>
      </w:r>
      <w:r>
        <w:rPr>
          <w:rFonts w:ascii="Times New Roman" w:cs="Times New Roman" w:eastAsia="Times New Roman" w:hAnsi="Times New Roman"/>
          <w:sz w:val="12"/>
          <w:szCs w:val="12"/>
          <w:i w:val="1"/>
          <w:iCs w:val="1"/>
          <w:color w:val="auto"/>
        </w:rPr>
        <w:t>www.sportsmans.com</w:t>
      </w:r>
      <w:r>
        <w:rPr>
          <w:rFonts w:ascii="Times New Roman" w:cs="Times New Roman" w:eastAsia="Times New Roman" w:hAnsi="Times New Roman"/>
          <w:sz w:val="12"/>
          <w:szCs w:val="12"/>
          <w:color w:val="auto"/>
        </w:rPr>
        <w:t xml:space="preserve">. We also operate an e-commerce platform at </w:t>
      </w:r>
      <w:r>
        <w:rPr>
          <w:rFonts w:ascii="Times New Roman" w:cs="Times New Roman" w:eastAsia="Times New Roman" w:hAnsi="Times New Roman"/>
          <w:sz w:val="12"/>
          <w:szCs w:val="12"/>
          <w:i w:val="1"/>
          <w:iCs w:val="1"/>
          <w:color w:val="auto"/>
        </w:rPr>
        <w:t>www.sportsmans.com</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stores and our e-commerce platform are aggregated into one operating and reportable segment.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COVID-19 Pandemic</w:t>
      </w:r>
    </w:p>
    <w:p>
      <w:pPr>
        <w:spacing w:after="0" w:line="158" w:lineRule="exact"/>
        <w:rPr>
          <w:sz w:val="20"/>
          <w:szCs w:val="20"/>
          <w:color w:val="auto"/>
        </w:rPr>
      </w:pPr>
    </w:p>
    <w:p>
      <w:pPr>
        <w:jc w:val="both"/>
        <w:ind w:left="20" w:right="59"/>
        <w:spacing w:after="0" w:line="274" w:lineRule="auto"/>
        <w:rPr>
          <w:sz w:val="20"/>
          <w:szCs w:val="20"/>
          <w:color w:val="auto"/>
        </w:rPr>
      </w:pPr>
      <w:r>
        <w:rPr>
          <w:rFonts w:ascii="Times New Roman" w:cs="Times New Roman" w:eastAsia="Times New Roman" w:hAnsi="Times New Roman"/>
          <w:sz w:val="12"/>
          <w:szCs w:val="12"/>
          <w:color w:val="auto"/>
        </w:rPr>
        <w:t>Since the beginning of the COVID-19 pandemic in mid-March 2020 and continuing into the second quarter of 2022, we experienced a significant increase in sales from pre-pandemic sales. A larger than normal portion of those sales came from certain product categories, particularly firearms and ammunition. While our same store sales decreased by 9.4% during the second quarter of 2022 compared to the second quarter of 2021, when compared to the second quarter of 2019, same store sales increased by 31.7%.</w:t>
      </w:r>
    </w:p>
    <w:p>
      <w:pPr>
        <w:spacing w:after="0" w:line="143" w:lineRule="exact"/>
        <w:rPr>
          <w:sz w:val="20"/>
          <w:szCs w:val="20"/>
          <w:color w:val="auto"/>
        </w:rPr>
      </w:pPr>
    </w:p>
    <w:p>
      <w:pPr>
        <w:jc w:val="both"/>
        <w:ind w:left="20" w:right="79"/>
        <w:spacing w:after="0" w:line="274" w:lineRule="auto"/>
        <w:rPr>
          <w:sz w:val="20"/>
          <w:szCs w:val="20"/>
          <w:color w:val="auto"/>
        </w:rPr>
      </w:pPr>
      <w:r>
        <w:rPr>
          <w:rFonts w:ascii="Times New Roman" w:cs="Times New Roman" w:eastAsia="Times New Roman" w:hAnsi="Times New Roman"/>
          <w:sz w:val="12"/>
          <w:szCs w:val="12"/>
          <w:color w:val="auto"/>
        </w:rPr>
        <w:t>In addition, we continue to see some interruption with various vendors as a result of restrictions or limitations on their operations, including labor shortages, due to the pandemic. We have been working closely with our vendors to limit such disruption and we have been successful in building up our inventory in recent months. The pandemic and current economic conditions have also resulted in a short supply of qualified employees.</w:t>
      </w:r>
    </w:p>
    <w:p>
      <w:pPr>
        <w:spacing w:after="0" w:line="143" w:lineRule="exact"/>
        <w:rPr>
          <w:sz w:val="20"/>
          <w:szCs w:val="20"/>
          <w:color w:val="auto"/>
        </w:rPr>
      </w:pPr>
    </w:p>
    <w:p>
      <w:pPr>
        <w:ind w:left="20" w:right="139"/>
        <w:spacing w:after="0" w:line="267" w:lineRule="auto"/>
        <w:rPr>
          <w:sz w:val="20"/>
          <w:szCs w:val="20"/>
          <w:color w:val="auto"/>
        </w:rPr>
      </w:pPr>
      <w:r>
        <w:rPr>
          <w:rFonts w:ascii="Times New Roman" w:cs="Times New Roman" w:eastAsia="Times New Roman" w:hAnsi="Times New Roman"/>
          <w:sz w:val="12"/>
          <w:szCs w:val="12"/>
          <w:color w:val="auto"/>
        </w:rPr>
        <w:t>We cannot predict the future impact on us of the COVID-19 outbreak. The future impact of the COVID-19 pandemic will depend on a number of future developments, which are highly uncertain and cannot be predicted, including, but not limited to the duration, spread and severity of the COVID-19 outbreak, any resurgence of COVID-19, the effects of the outbreak on our customers and vendors and the remedial actions and stimulus measures adopted by local and federal governments. Further, we may experience a decrease in sales if the increased demand we experienced during the pandemic subsides.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How We Assess the Performance of Our Business</w:t>
      </w:r>
    </w:p>
    <w:p>
      <w:pPr>
        <w:spacing w:after="0" w:line="85" w:lineRule="exact"/>
        <w:rPr>
          <w:sz w:val="20"/>
          <w:szCs w:val="20"/>
          <w:color w:val="auto"/>
        </w:rPr>
      </w:pPr>
    </w:p>
    <w:p>
      <w:pPr>
        <w:jc w:val="both"/>
        <w:ind w:left="20" w:right="59"/>
        <w:spacing w:after="0" w:line="274" w:lineRule="auto"/>
        <w:rPr>
          <w:sz w:val="20"/>
          <w:szCs w:val="20"/>
          <w:color w:val="auto"/>
        </w:rPr>
      </w:pPr>
      <w:r>
        <w:rPr>
          <w:rFonts w:ascii="Times New Roman" w:cs="Times New Roman" w:eastAsia="Times New Roman" w:hAnsi="Times New Roman"/>
          <w:sz w:val="12"/>
          <w:szCs w:val="12"/>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Net Sales and Same Store Sales</w:t>
      </w:r>
    </w:p>
    <w:p>
      <w:pPr>
        <w:spacing w:after="0" w:line="158" w:lineRule="exact"/>
        <w:rPr>
          <w:sz w:val="20"/>
          <w:szCs w:val="20"/>
          <w:color w:val="auto"/>
        </w:rPr>
      </w:pPr>
    </w:p>
    <w:p>
      <w:pPr>
        <w:ind w:left="20" w:right="159"/>
        <w:spacing w:after="0" w:line="274" w:lineRule="auto"/>
        <w:rPr>
          <w:sz w:val="20"/>
          <w:szCs w:val="20"/>
          <w:color w:val="auto"/>
        </w:rPr>
      </w:pPr>
      <w:r>
        <w:rPr>
          <w:rFonts w:ascii="Times New Roman" w:cs="Times New Roman" w:eastAsia="Times New Roman" w:hAnsi="Times New Roman"/>
          <w:sz w:val="12"/>
          <w:szCs w:val="12"/>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to be included in same store sales. We include net sales from a store in same store sales on the first day of the 13th full fiscal month following the store’s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139"/>
        <w:spacing w:after="0" w:line="231" w:lineRule="auto"/>
        <w:rPr>
          <w:sz w:val="20"/>
          <w:szCs w:val="20"/>
          <w:color w:val="auto"/>
        </w:rPr>
      </w:pPr>
      <w:r>
        <w:rPr>
          <w:rFonts w:ascii="Times New Roman" w:cs="Times New Roman" w:eastAsia="Times New Roman" w:hAnsi="Times New Roman"/>
          <w:sz w:val="12"/>
          <w:szCs w:val="12"/>
          <w:color w:val="auto"/>
        </w:rPr>
        <w:t>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2"/>
          <w:szCs w:val="12"/>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Measuring the change in year-over-year same store sales allows us to evaluate how our retail store base is performing. Various factors affect same store sales, including:</w:t>
      </w:r>
    </w:p>
    <w:p>
      <w:pPr>
        <w:spacing w:after="0" w:line="73" w:lineRule="exact"/>
        <w:rPr>
          <w:sz w:val="20"/>
          <w:szCs w:val="20"/>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w:t>
      </w:r>
    </w:p>
    <w:p>
      <w:pPr>
        <w:spacing w:after="0" w:line="73"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or anticipated changes to regulations related to some of the products we sell;</w:t>
      </w:r>
    </w:p>
    <w:p>
      <w:pPr>
        <w:spacing w:after="0" w:line="64"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preferences, buying trends and overall economic trends;</w:t>
      </w:r>
    </w:p>
    <w:p>
      <w:pPr>
        <w:spacing w:after="0" w:line="73"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identify and respond effectively to local and regional trends and customer preferences;</w:t>
      </w:r>
    </w:p>
    <w:p>
      <w:pPr>
        <w:spacing w:after="0" w:line="73"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provide quality customer service that will increase our conversion of shoppers into paying customers;</w:t>
      </w:r>
    </w:p>
    <w:p>
      <w:pPr>
        <w:spacing w:after="0" w:line="64"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omni-channel strategy and our e-commerce platform;</w:t>
      </w:r>
    </w:p>
    <w:p>
      <w:pPr>
        <w:spacing w:after="0" w:line="73"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regional market of a store;</w:t>
      </w:r>
    </w:p>
    <w:p>
      <w:pPr>
        <w:spacing w:after="0" w:line="73"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atypical weather;</w:t>
      </w:r>
    </w:p>
    <w:p>
      <w:pPr>
        <w:spacing w:after="0" w:line="64"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product introductions and changes in our product mix; and</w:t>
      </w:r>
    </w:p>
    <w:p>
      <w:pPr>
        <w:spacing w:after="0" w:line="73"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pricing and average ticket sales.</w:t>
      </w:r>
    </w:p>
    <w:p>
      <w:pPr>
        <w:spacing w:after="0" w:line="156" w:lineRule="exact"/>
        <w:rPr>
          <w:sz w:val="20"/>
          <w:szCs w:val="20"/>
          <w:color w:val="auto"/>
        </w:rPr>
      </w:pPr>
    </w:p>
    <w:p>
      <w:pPr>
        <w:ind w:left="20" w:right="219"/>
        <w:spacing w:after="0" w:line="292" w:lineRule="auto"/>
        <w:rPr>
          <w:sz w:val="20"/>
          <w:szCs w:val="20"/>
          <w:color w:val="auto"/>
        </w:rPr>
      </w:pPr>
      <w:r>
        <w:rPr>
          <w:rFonts w:ascii="Times New Roman" w:cs="Times New Roman" w:eastAsia="Times New Roman" w:hAnsi="Times New Roman"/>
          <w:sz w:val="12"/>
          <w:szCs w:val="12"/>
          <w:color w:val="auto"/>
        </w:rPr>
        <w:t>Opening new stores and acquiring store locations is also an important part of our growth strategy. While our target is to grow square footage at a rate of 5%-10% annually, we may deviate from this target if attractive opportunities are presented to open stores or acquire new store locations outside of our target growth rate.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We also have been scaling our e-commerce platform and increasing sales through our website, </w:t>
      </w:r>
      <w:r>
        <w:rPr>
          <w:rFonts w:ascii="Times New Roman" w:cs="Times New Roman" w:eastAsia="Times New Roman" w:hAnsi="Times New Roman"/>
          <w:sz w:val="12"/>
          <w:szCs w:val="12"/>
          <w:i w:val="1"/>
          <w:iCs w:val="1"/>
          <w:color w:val="auto"/>
        </w:rPr>
        <w:t>www.sportsmans.com</w:t>
      </w:r>
      <w:r>
        <w:rPr>
          <w:rFonts w:ascii="Times New Roman" w:cs="Times New Roman" w:eastAsia="Times New Roman" w:hAnsi="Times New Roman"/>
          <w:sz w:val="12"/>
          <w:szCs w:val="12"/>
          <w:color w:val="auto"/>
        </w:rPr>
        <w: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believe the key drivers to increasing our total net sales include:</w:t>
      </w:r>
    </w:p>
    <w:p>
      <w:pPr>
        <w:spacing w:after="0" w:line="156" w:lineRule="exact"/>
        <w:rPr>
          <w:sz w:val="20"/>
          <w:szCs w:val="20"/>
          <w:color w:val="auto"/>
        </w:rPr>
      </w:pPr>
    </w:p>
    <w:p>
      <w:pPr>
        <w:ind w:left="560" w:hanging="225"/>
        <w:spacing w:after="0"/>
        <w:tabs>
          <w:tab w:leader="none" w:pos="5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our total gross square footage by opening new stores and through strategic acquisitions;</w:t>
      </w:r>
    </w:p>
    <w:p>
      <w:pPr>
        <w:spacing w:after="0" w:line="146"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continuing to increase and improve same store sales in our existing markets;</w:t>
      </w:r>
    </w:p>
    <w:p>
      <w:pPr>
        <w:spacing w:after="0" w:line="146"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customer visits to our stores and improving our conversion rate through focused marketing efforts and continually high standards of customer service;</w:t>
      </w:r>
    </w:p>
    <w:p>
      <w:pPr>
        <w:spacing w:after="0" w:line="146"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growing our loyalty and credit card programs; and</w:t>
      </w:r>
    </w:p>
    <w:p>
      <w:pPr>
        <w:spacing w:after="0" w:line="146"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expanding our omni channel capabilities through larger assortment and inventory, expanded content and expertise and better user experience.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Gross Margin</w:t>
      </w:r>
    </w:p>
    <w:p>
      <w:pPr>
        <w:spacing w:after="0" w:line="85" w:lineRule="exact"/>
        <w:rPr>
          <w:sz w:val="20"/>
          <w:szCs w:val="20"/>
          <w:color w:val="auto"/>
        </w:rPr>
      </w:pPr>
    </w:p>
    <w:p>
      <w:pPr>
        <w:ind w:left="20" w:right="59"/>
        <w:spacing w:after="0" w:line="274" w:lineRule="auto"/>
        <w:rPr>
          <w:sz w:val="20"/>
          <w:szCs w:val="20"/>
          <w:color w:val="auto"/>
        </w:rPr>
      </w:pPr>
      <w:r>
        <w:rPr>
          <w:rFonts w:ascii="Times New Roman" w:cs="Times New Roman" w:eastAsia="Times New Roman" w:hAnsi="Times New Roman"/>
          <w:sz w:val="12"/>
          <w:szCs w:val="12"/>
          <w:color w:val="auto"/>
        </w:rPr>
        <w:t>Gross profit is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115" w:lineRule="exact"/>
        <w:rPr>
          <w:sz w:val="20"/>
          <w:szCs w:val="20"/>
          <w:color w:val="auto"/>
        </w:rPr>
      </w:pPr>
    </w:p>
    <w:p>
      <w:pPr>
        <w:ind w:left="20" w:right="99"/>
        <w:spacing w:after="0" w:line="267" w:lineRule="auto"/>
        <w:rPr>
          <w:sz w:val="20"/>
          <w:szCs w:val="20"/>
          <w:color w:val="auto"/>
        </w:rPr>
      </w:pPr>
      <w:r>
        <w:rPr>
          <w:rFonts w:ascii="Times New Roman" w:cs="Times New Roman" w:eastAsia="Times New Roman" w:hAnsi="Times New Roman"/>
          <w:sz w:val="12"/>
          <w:szCs w:val="12"/>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We believe that the overall growth of our business will</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allow us to generally maintain or increase our gross margins, because increased merchandise volumes will enable us to maintain our strong relationships with our vendors.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Selling, General, and Administrative Expenses</w:t>
      </w:r>
    </w:p>
    <w:p>
      <w:pPr>
        <w:spacing w:after="0" w:line="85" w:lineRule="exact"/>
        <w:rPr>
          <w:sz w:val="20"/>
          <w:szCs w:val="20"/>
          <w:color w:val="auto"/>
        </w:rPr>
      </w:pPr>
    </w:p>
    <w:p>
      <w:pPr>
        <w:ind w:left="20" w:right="59"/>
        <w:spacing w:after="0" w:line="267" w:lineRule="auto"/>
        <w:rPr>
          <w:sz w:val="20"/>
          <w:szCs w:val="20"/>
          <w:color w:val="auto"/>
        </w:rPr>
      </w:pPr>
      <w:r>
        <w:rPr>
          <w:rFonts w:ascii="Times New Roman" w:cs="Times New Roman" w:eastAsia="Times New Roman" w:hAnsi="Times New Roman"/>
          <w:sz w:val="12"/>
          <w:szCs w:val="12"/>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21" w:lineRule="exact"/>
        <w:rPr>
          <w:sz w:val="20"/>
          <w:szCs w:val="20"/>
          <w:color w:val="auto"/>
        </w:rPr>
      </w:pPr>
    </w:p>
    <w:p>
      <w:pPr>
        <w:ind w:left="20" w:right="79"/>
        <w:spacing w:after="0" w:line="274" w:lineRule="auto"/>
        <w:rPr>
          <w:sz w:val="20"/>
          <w:szCs w:val="20"/>
          <w:color w:val="auto"/>
        </w:rPr>
      </w:pPr>
      <w:r>
        <w:rPr>
          <w:rFonts w:ascii="Times New Roman" w:cs="Times New Roman" w:eastAsia="Times New Roman" w:hAnsi="Times New Roman"/>
          <w:sz w:val="12"/>
          <w:szCs w:val="12"/>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15" w:lineRule="exact"/>
        <w:rPr>
          <w:sz w:val="20"/>
          <w:szCs w:val="20"/>
          <w:color w:val="auto"/>
        </w:rPr>
      </w:pPr>
    </w:p>
    <w:p>
      <w:pPr>
        <w:ind w:left="20" w:right="319"/>
        <w:spacing w:after="0" w:line="292" w:lineRule="auto"/>
        <w:rPr>
          <w:sz w:val="20"/>
          <w:szCs w:val="20"/>
          <w:color w:val="auto"/>
        </w:rPr>
      </w:pPr>
      <w:r>
        <w:rPr>
          <w:rFonts w:ascii="Times New Roman" w:cs="Times New Roman" w:eastAsia="Times New Roman" w:hAnsi="Times New Roman"/>
          <w:sz w:val="12"/>
          <w:szCs w:val="12"/>
          <w:color w:val="auto"/>
        </w:rPr>
        <w:t>We expect that our selling, general, and administrative expenses will increase in future periods due to our continuing growth. In addition, we have experienced increased payroll expenses due to increased minimum wages and generally increasing salaries and wages due to a competitive labor market and inflation.</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w:t>
      </w:r>
    </w:p>
    <w:p>
      <w:pPr>
        <w:spacing w:after="0" w:line="85" w:lineRule="exact"/>
        <w:rPr>
          <w:sz w:val="20"/>
          <w:szCs w:val="20"/>
          <w:color w:val="auto"/>
        </w:rPr>
      </w:pPr>
    </w:p>
    <w:p>
      <w:pPr>
        <w:ind w:left="20" w:right="199"/>
        <w:spacing w:after="0" w:line="292" w:lineRule="auto"/>
        <w:rPr>
          <w:sz w:val="20"/>
          <w:szCs w:val="20"/>
          <w:color w:val="auto"/>
        </w:rPr>
      </w:pPr>
      <w:r>
        <w:rPr>
          <w:rFonts w:ascii="Times New Roman" w:cs="Times New Roman" w:eastAsia="Times New Roman" w:hAnsi="Times New Roman"/>
          <w:sz w:val="12"/>
          <w:szCs w:val="12"/>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85" w:lineRule="exact"/>
        <w:rPr>
          <w:sz w:val="20"/>
          <w:szCs w:val="20"/>
          <w:color w:val="auto"/>
        </w:rPr>
      </w:pPr>
    </w:p>
    <w:p>
      <w:pPr>
        <w:ind w:left="20" w:right="99"/>
        <w:spacing w:after="0" w:line="267" w:lineRule="auto"/>
        <w:rPr>
          <w:sz w:val="20"/>
          <w:szCs w:val="20"/>
          <w:color w:val="auto"/>
        </w:rPr>
      </w:pPr>
      <w:r>
        <w:rPr>
          <w:rFonts w:ascii="Times New Roman" w:cs="Times New Roman" w:eastAsia="Times New Roman" w:hAnsi="Times New Roman"/>
          <w:sz w:val="12"/>
          <w:szCs w:val="12"/>
          <w:color w:val="auto"/>
        </w:rPr>
        <w:t>We define Adjusted EBITDA as net income plus interest expense, income tax expense, depreciation and amortization, stock-based compensation expense, pre-opening expenses, and other gains, losses and expenses that we do not believe are indicative of our ongoing expenses. In evaluating our business, we use Adjusted EBITDA and Adjusted EBITDA margin as an additional measurement tool for purposes of business decision-making, including evaluating store performance, developing budgets and managing expenditures. See “—Non-GAAP Measures.”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summarizes key components of our results of operations as a percentage of net sales for the periods indicated:</w:t>
      </w:r>
    </w:p>
    <w:p>
      <w:pPr>
        <w:sectPr>
          <w:pgSz w:w="11900" w:h="16838" w:orient="portrait"/>
          <w:cols w:equalWidth="0" w:num="1">
            <w:col w:w="9019"/>
          </w:cols>
          <w:pgMar w:left="1440" w:top="393" w:right="1440" w:bottom="1440" w:gutter="0" w:footer="0" w:header="0"/>
        </w:sectPr>
      </w:pPr>
    </w:p>
    <w:p>
      <w:pPr>
        <w:spacing w:after="0" w:line="33"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0"/>
          <w:szCs w:val="10"/>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19050</wp:posOffset>
            </wp:positionV>
            <wp:extent cx="144716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21" w:lineRule="exact"/>
        <w:rPr>
          <w:sz w:val="20"/>
          <w:szCs w:val="20"/>
          <w:color w:val="auto"/>
        </w:rPr>
      </w:pPr>
    </w:p>
    <w:p>
      <w:pPr>
        <w:ind w:left="4600"/>
        <w:spacing w:after="0"/>
        <w:tabs>
          <w:tab w:leader="none" w:pos="5820" w:val="left"/>
        </w:tabs>
        <w:rPr>
          <w:sz w:val="20"/>
          <w:szCs w:val="20"/>
          <w:color w:val="auto"/>
        </w:rPr>
      </w:pPr>
      <w:r>
        <w:rPr>
          <w:rFonts w:ascii="Times New Roman" w:cs="Times New Roman" w:eastAsia="Times New Roman" w:hAnsi="Times New Roman"/>
          <w:sz w:val="10"/>
          <w:szCs w:val="10"/>
          <w:b w:val="1"/>
          <w:bCs w:val="1"/>
          <w:color w:val="auto"/>
        </w:rPr>
        <w:t>July 30,</w:t>
      </w:r>
      <w:r>
        <w:rPr>
          <w:sz w:val="20"/>
          <w:szCs w:val="20"/>
          <w:color w:val="auto"/>
        </w:rPr>
        <w:tab/>
      </w:r>
      <w:r>
        <w:rPr>
          <w:rFonts w:ascii="Times New Roman" w:cs="Times New Roman" w:eastAsia="Times New Roman" w:hAnsi="Times New Roman"/>
          <w:sz w:val="9"/>
          <w:szCs w:val="9"/>
          <w:b w:val="1"/>
          <w:bCs w:val="1"/>
          <w:color w:val="auto"/>
        </w:rPr>
        <w:t>July 31,</w:t>
      </w:r>
    </w:p>
    <w:p>
      <w:pPr>
        <w:spacing w:after="0" w:line="32" w:lineRule="exact"/>
        <w:rPr>
          <w:sz w:val="20"/>
          <w:szCs w:val="20"/>
          <w:color w:val="auto"/>
        </w:rPr>
      </w:pPr>
    </w:p>
    <w:p>
      <w:pPr>
        <w:ind w:left="4660"/>
        <w:spacing w:after="0"/>
        <w:tabs>
          <w:tab w:leader="none" w:pos="5880" w:val="left"/>
        </w:tabs>
        <w:rPr>
          <w:sz w:val="20"/>
          <w:szCs w:val="20"/>
          <w:color w:val="auto"/>
        </w:rPr>
      </w:pPr>
      <w:r>
        <w:rPr>
          <w:rFonts w:ascii="Times New Roman" w:cs="Times New Roman" w:eastAsia="Times New Roman" w:hAnsi="Times New Roman"/>
          <w:sz w:val="10"/>
          <w:szCs w:val="10"/>
          <w:b w:val="1"/>
          <w:bCs w:val="1"/>
          <w:color w:val="auto"/>
        </w:rPr>
        <w:t>2022</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0"/>
          <w:szCs w:val="10"/>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19050</wp:posOffset>
            </wp:positionV>
            <wp:extent cx="146431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4310" cy="5715"/>
                    </a:xfrm>
                    <a:prstGeom prst="rect">
                      <a:avLst/>
                    </a:prstGeom>
                    <a:noFill/>
                  </pic:spPr>
                </pic:pic>
              </a:graphicData>
            </a:graphic>
          </wp:anchor>
        </w:drawing>
      </w:r>
    </w:p>
    <w:p>
      <w:pPr>
        <w:spacing w:after="0" w:line="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July 30,</w:t>
      </w:r>
      <w:r>
        <w:rPr>
          <w:sz w:val="20"/>
          <w:szCs w:val="20"/>
          <w:color w:val="auto"/>
        </w:rPr>
        <w:tab/>
      </w:r>
      <w:r>
        <w:rPr>
          <w:rFonts w:ascii="Times New Roman" w:cs="Times New Roman" w:eastAsia="Times New Roman" w:hAnsi="Times New Roman"/>
          <w:sz w:val="9"/>
          <w:szCs w:val="9"/>
          <w:b w:val="1"/>
          <w:bCs w:val="1"/>
          <w:color w:val="auto"/>
        </w:rPr>
        <w:t>July 31,</w:t>
      </w:r>
    </w:p>
    <w:p>
      <w:pPr>
        <w:spacing w:after="0" w:line="32"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0"/>
          <w:szCs w:val="10"/>
          <w:b w:val="1"/>
          <w:bCs w:val="1"/>
          <w:color w:val="auto"/>
        </w:rPr>
        <w:t>2022</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12" w:lineRule="exact"/>
        <w:rPr>
          <w:sz w:val="20"/>
          <w:szCs w:val="20"/>
          <w:color w:val="auto"/>
        </w:rPr>
      </w:pPr>
    </w:p>
    <w:p>
      <w:pPr>
        <w:sectPr>
          <w:pgSz w:w="11900" w:h="16838" w:orient="portrait"/>
          <w:cols w:equalWidth="0" w:num="2">
            <w:col w:w="6320" w:space="720"/>
            <w:col w:w="1979"/>
          </w:cols>
          <w:pgMar w:left="1440" w:top="393" w:right="1440" w:bottom="1440" w:gutter="0" w:footer="0" w:header="0"/>
          <w:type w:val="continuous"/>
        </w:sectPr>
      </w:pPr>
    </w:p>
    <w:tbl>
      <w:tblPr>
        <w:tblLayout w:type="fixed"/>
        <w:tblInd w:w="20" w:type="dxa"/>
        <w:tblCellMar>
          <w:top w:w="0" w:type="dxa"/>
          <w:left w:w="0" w:type="dxa"/>
          <w:bottom w:w="0" w:type="dxa"/>
          <w:right w:w="0" w:type="dxa"/>
        </w:tblCellMar>
      </w:tblPr>
      <w:tr>
        <w:trPr>
          <w:trHeight w:val="154"/>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Percentage of net sales:</w:t>
            </w: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14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4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67.5</w:t>
            </w:r>
          </w:p>
        </w:tc>
      </w:tr>
      <w:tr>
        <w:trPr>
          <w:trHeight w:val="136"/>
        </w:trPr>
        <w:tc>
          <w:tcPr>
            <w:tcW w:w="4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Gross profit</w:t>
            </w: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33.5</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33.2</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32.8</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32.5</w:t>
            </w:r>
          </w:p>
        </w:tc>
      </w:tr>
      <w:tr>
        <w:trPr>
          <w:trHeight w:val="14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w:t>
            </w:r>
          </w:p>
        </w:tc>
      </w:tr>
      <w:tr>
        <w:trPr>
          <w:trHeight w:val="136"/>
        </w:trPr>
        <w:tc>
          <w:tcPr>
            <w:tcW w:w="4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Income from operations</w:t>
            </w: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5.9</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6.7</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3.6</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5.5</w:t>
            </w:r>
          </w:p>
        </w:tc>
      </w:tr>
      <w:tr>
        <w:trPr>
          <w:trHeight w:val="14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36"/>
        </w:trPr>
        <w:tc>
          <w:tcPr>
            <w:tcW w:w="4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Income before income taxes</w:t>
            </w: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5.7</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6.6</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3.4</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5.4</w:t>
            </w:r>
          </w:p>
        </w:tc>
      </w:tr>
      <w:tr>
        <w:trPr>
          <w:trHeight w:val="147"/>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6"/>
        </w:trPr>
        <w:tc>
          <w:tcPr>
            <w:tcW w:w="4220" w:type="dxa"/>
            <w:vAlign w:val="bottom"/>
            <w:tcBorders>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4.2%</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4.9%</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2.6%</w:t>
            </w: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4.1%</w:t>
            </w:r>
          </w:p>
        </w:tc>
      </w:tr>
      <w:tr>
        <w:trPr>
          <w:trHeight w:val="142"/>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Adjusted EBITDA</w:t>
            </w: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8.7%</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9.7%</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6.6%</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8.5%</w:t>
            </w:r>
          </w:p>
        </w:tc>
      </w:tr>
    </w:tbl>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shows our sales during the periods presented by department:</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200" w:type="dxa"/>
            <w:vAlign w:val="bottom"/>
          </w:tcPr>
          <w:p>
            <w:pPr>
              <w:spacing w:after="0"/>
              <w:rPr>
                <w:sz w:val="11"/>
                <w:szCs w:val="11"/>
                <w:color w:val="auto"/>
              </w:rPr>
            </w:pPr>
          </w:p>
        </w:tc>
        <w:tc>
          <w:tcPr>
            <w:tcW w:w="1960" w:type="dxa"/>
            <w:vAlign w:val="bottom"/>
            <w:tcBorders>
              <w:bottom w:val="single" w:sz="8" w:color="auto"/>
            </w:tcBorders>
            <w:gridSpan w:val="3"/>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127"/>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156"/>
        </w:trPr>
        <w:tc>
          <w:tcPr>
            <w:tcW w:w="1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Department</w:t>
            </w:r>
          </w:p>
        </w:tc>
        <w:tc>
          <w:tcPr>
            <w:tcW w:w="160" w:type="dxa"/>
            <w:vAlign w:val="bottom"/>
          </w:tcPr>
          <w:p>
            <w:pPr>
              <w:spacing w:after="0"/>
              <w:rPr>
                <w:sz w:val="13"/>
                <w:szCs w:val="13"/>
                <w:color w:val="auto"/>
              </w:rPr>
            </w:pPr>
          </w:p>
        </w:tc>
        <w:tc>
          <w:tcPr>
            <w:tcW w:w="334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Product Offerings</w:t>
            </w: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3"/>
                <w:szCs w:val="13"/>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Pr>
          <w:p>
            <w:pPr>
              <w:spacing w:after="0"/>
              <w:rPr>
                <w:sz w:val="13"/>
                <w:szCs w:val="13"/>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3"/>
                <w:szCs w:val="13"/>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23"/>
        </w:trPr>
        <w:tc>
          <w:tcPr>
            <w:tcW w:w="16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Camping</w:t>
            </w:r>
          </w:p>
        </w:tc>
        <w:tc>
          <w:tcPr>
            <w:tcW w:w="16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Backpacks, camp essentials, canoes and kayaks, coolers, outdoor</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r>
      <w:tr>
        <w:trPr>
          <w:trHeight w:val="160"/>
        </w:trPr>
        <w:tc>
          <w:tcPr>
            <w:tcW w:w="1660" w:type="dxa"/>
            <w:vAlign w:val="bottom"/>
            <w:shd w:val="clear" w:color="auto" w:fill="CCEEFF"/>
          </w:tcPr>
          <w:p>
            <w:pPr>
              <w:spacing w:after="0"/>
              <w:rPr>
                <w:sz w:val="13"/>
                <w:szCs w:val="13"/>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cooking equipment, sleeping bags, tents and tools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34"/>
        </w:trPr>
        <w:tc>
          <w:tcPr>
            <w:tcW w:w="16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Apparel</w:t>
            </w:r>
          </w:p>
        </w:tc>
        <w:tc>
          <w:tcPr>
            <w:tcW w:w="3500" w:type="dxa"/>
            <w:vAlign w:val="bottom"/>
            <w:gridSpan w:val="3"/>
          </w:tcPr>
          <w:p>
            <w:pPr>
              <w:ind w:left="160"/>
              <w:spacing w:after="0" w:line="134" w:lineRule="exact"/>
              <w:rPr>
                <w:sz w:val="20"/>
                <w:szCs w:val="20"/>
                <w:color w:val="auto"/>
              </w:rPr>
            </w:pPr>
            <w:r>
              <w:rPr>
                <w:rFonts w:ascii="Times New Roman" w:cs="Times New Roman" w:eastAsia="Times New Roman" w:hAnsi="Times New Roman"/>
                <w:sz w:val="12"/>
                <w:szCs w:val="12"/>
                <w:color w:val="auto"/>
              </w:rPr>
              <w:t>Camouflage, jackets, hats, outerwear, sportswear, technical gear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9"/>
        </w:trPr>
        <w:tc>
          <w:tcPr>
            <w:tcW w:w="1660" w:type="dxa"/>
            <w:vAlign w:val="bottom"/>
          </w:tcPr>
          <w:p>
            <w:pPr>
              <w:spacing w:after="0"/>
              <w:rPr>
                <w:sz w:val="13"/>
                <w:szCs w:val="13"/>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and work wear</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35"/>
        </w:trPr>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Fishing</w:t>
            </w:r>
          </w:p>
        </w:tc>
        <w:tc>
          <w:tcPr>
            <w:tcW w:w="350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Bait, electronics, fishing rods, flotation items, fly fishing, lines,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0"/>
        </w:trPr>
        <w:tc>
          <w:tcPr>
            <w:tcW w:w="1660" w:type="dxa"/>
            <w:vAlign w:val="bottom"/>
            <w:shd w:val="clear" w:color="auto" w:fill="CCEEFF"/>
          </w:tcPr>
          <w:p>
            <w:pPr>
              <w:spacing w:after="0"/>
              <w:rPr>
                <w:sz w:val="13"/>
                <w:szCs w:val="13"/>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lures, reels, tackle and small boats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r>
      <w:tr>
        <w:trPr>
          <w:trHeight w:val="134"/>
        </w:trPr>
        <w:tc>
          <w:tcPr>
            <w:tcW w:w="16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Footwear</w:t>
            </w:r>
          </w:p>
        </w:tc>
        <w:tc>
          <w:tcPr>
            <w:tcW w:w="3500" w:type="dxa"/>
            <w:vAlign w:val="bottom"/>
            <w:gridSpan w:val="3"/>
          </w:tcPr>
          <w:p>
            <w:pPr>
              <w:ind w:left="160"/>
              <w:spacing w:after="0" w:line="134" w:lineRule="exact"/>
              <w:rPr>
                <w:sz w:val="20"/>
                <w:szCs w:val="20"/>
                <w:color w:val="auto"/>
              </w:rPr>
            </w:pPr>
            <w:r>
              <w:rPr>
                <w:rFonts w:ascii="Times New Roman" w:cs="Times New Roman" w:eastAsia="Times New Roman" w:hAnsi="Times New Roman"/>
                <w:sz w:val="12"/>
                <w:szCs w:val="12"/>
                <w:color w:val="auto"/>
              </w:rPr>
              <w:t>Hiking boots, socks, sport sandals, technical footwear, trail</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9"/>
        </w:trPr>
        <w:tc>
          <w:tcPr>
            <w:tcW w:w="1660" w:type="dxa"/>
            <w:vAlign w:val="bottom"/>
          </w:tcPr>
          <w:p>
            <w:pPr>
              <w:spacing w:after="0"/>
              <w:rPr>
                <w:sz w:val="13"/>
                <w:szCs w:val="13"/>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shoes, casual shoes, waders and work boots</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35"/>
        </w:trPr>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Hunting and Shooting</w:t>
            </w:r>
          </w:p>
        </w:tc>
        <w:tc>
          <w:tcPr>
            <w:tcW w:w="3500" w:type="dxa"/>
            <w:vAlign w:val="bottom"/>
            <w:gridSpan w:val="3"/>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Ammunition, archery items, ATV accessories, blinds and tree</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0"/>
        </w:trPr>
        <w:tc>
          <w:tcPr>
            <w:tcW w:w="1660" w:type="dxa"/>
            <w:vAlign w:val="bottom"/>
            <w:shd w:val="clear" w:color="auto" w:fill="CCEEFF"/>
          </w:tcPr>
          <w:p>
            <w:pPr>
              <w:spacing w:after="0"/>
              <w:rPr>
                <w:sz w:val="13"/>
                <w:szCs w:val="13"/>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stands, decoys, firearms, reloading equipment and shooting gear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w:t>
            </w:r>
          </w:p>
        </w:tc>
      </w:tr>
      <w:tr>
        <w:trPr>
          <w:trHeight w:val="134"/>
        </w:trPr>
        <w:tc>
          <w:tcPr>
            <w:tcW w:w="16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Optics, Electronics, Accessories,</w:t>
            </w:r>
          </w:p>
        </w:tc>
        <w:tc>
          <w:tcPr>
            <w:tcW w:w="3500" w:type="dxa"/>
            <w:vAlign w:val="bottom"/>
            <w:gridSpan w:val="3"/>
          </w:tcPr>
          <w:p>
            <w:pPr>
              <w:ind w:left="160"/>
              <w:spacing w:after="0" w:line="134" w:lineRule="exact"/>
              <w:rPr>
                <w:sz w:val="20"/>
                <w:szCs w:val="20"/>
                <w:color w:val="auto"/>
              </w:rPr>
            </w:pPr>
            <w:r>
              <w:rPr>
                <w:rFonts w:ascii="Times New Roman" w:cs="Times New Roman" w:eastAsia="Times New Roman" w:hAnsi="Times New Roman"/>
                <w:sz w:val="12"/>
                <w:szCs w:val="12"/>
                <w:color w:val="auto"/>
              </w:rPr>
              <w:t>Gift items, GPS devices, knives, lighting, optics, two-way</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9"/>
        </w:trPr>
        <w:tc>
          <w:tcPr>
            <w:tcW w:w="1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and Other</w:t>
            </w:r>
          </w:p>
        </w:tc>
        <w:tc>
          <w:tcPr>
            <w:tcW w:w="35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2"/>
                <w:szCs w:val="12"/>
                <w:color w:val="auto"/>
              </w:rPr>
              <w:t>radios, and other license revenue, net of revenue discounts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166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w:t>
            </w:r>
          </w:p>
        </w:tc>
      </w:tr>
    </w:tbl>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Thirteen Weeks Ended July 30, 2022 Compared to Thirteen Weeks Ended July 31, 2021</w:t>
      </w:r>
    </w:p>
    <w:p>
      <w:pPr>
        <w:spacing w:after="0" w:line="156"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Sales. </w:t>
      </w:r>
      <w:r>
        <w:rPr>
          <w:rFonts w:ascii="Times New Roman" w:cs="Times New Roman" w:eastAsia="Times New Roman" w:hAnsi="Times New Roman"/>
          <w:sz w:val="12"/>
          <w:szCs w:val="12"/>
          <w:color w:val="auto"/>
        </w:rPr>
        <w:t>Net sales decreased by $10.8 million, or 3.0%, to $351.0 million during the 13 weeks ended July 30, 2022 compared to $361.8 million in the corresponding period of fiscal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year 2021. Our net sales decreased primarily due to lower demand across most product categories as we began to see the impact of consumer inflationary pressures and recessionary concerns, partially offset by our opening of 12 new stores since July 31, 2021. Stores that have been open for less than 12 months and were, therefore, not included in our same store sales, contributed $25.1 million to net sales. Same store sales decreased by 9.4% for the 13 weeks ended July 30, 2022 compared to the comparable 13-week period of fiscal year 2021, primarily driven by a decrease in demand across most product categories due to consumer inflationary pressures and recessionary concerns.</w:t>
      </w:r>
    </w:p>
    <w:p>
      <w:pPr>
        <w:spacing w:after="0" w:line="122" w:lineRule="exact"/>
        <w:rPr>
          <w:sz w:val="20"/>
          <w:szCs w:val="20"/>
          <w:color w:val="auto"/>
        </w:rPr>
      </w:pPr>
    </w:p>
    <w:p>
      <w:pPr>
        <w:ind w:left="20" w:right="219"/>
        <w:spacing w:after="0" w:line="292" w:lineRule="auto"/>
        <w:rPr>
          <w:sz w:val="20"/>
          <w:szCs w:val="20"/>
          <w:color w:val="auto"/>
        </w:rPr>
      </w:pPr>
      <w:r>
        <w:rPr>
          <w:rFonts w:ascii="Times New Roman" w:cs="Times New Roman" w:eastAsia="Times New Roman" w:hAnsi="Times New Roman"/>
          <w:sz w:val="12"/>
          <w:szCs w:val="12"/>
          <w:color w:val="auto"/>
        </w:rPr>
        <w:t>Our hunting and shooting and apparel categories saw increases of $3.3 million and $1.2 million, respectively, in the second quarter of fiscal year 2022 compared to the comparable 13-week period of fiscal year 2021 due to the opening of</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12 new stores since July 31, 2021. Our fishing, camping, optics, electronics and accessories and footwear categories saw decreases of $7.7 million, $5.1 million, $4.2 million and</w:t>
      </w:r>
    </w:p>
    <w:p>
      <w:pPr>
        <w:spacing w:after="0" w:line="21" w:lineRule="exact"/>
        <w:rPr>
          <w:sz w:val="20"/>
          <w:szCs w:val="20"/>
          <w:color w:val="auto"/>
        </w:rPr>
      </w:pPr>
    </w:p>
    <w:p>
      <w:pPr>
        <w:ind w:left="20" w:right="79"/>
        <w:spacing w:after="0" w:line="259" w:lineRule="auto"/>
        <w:rPr>
          <w:sz w:val="20"/>
          <w:szCs w:val="20"/>
          <w:color w:val="auto"/>
        </w:rPr>
      </w:pPr>
      <w:r>
        <w:rPr>
          <w:rFonts w:ascii="Times New Roman" w:cs="Times New Roman" w:eastAsia="Times New Roman" w:hAnsi="Times New Roman"/>
          <w:sz w:val="12"/>
          <w:szCs w:val="12"/>
          <w:color w:val="auto"/>
        </w:rPr>
        <w:t>$0.6 million, respectively, in the second quarter of fiscal year 2022 compared to the comparable 13-week period of fiscal year 2021. Within the hunting and shooting department, our firearm category saw a decrease of $3.0 million or 4.2%, while our ammunition category saw an increase of $2.9 million or 5.6% in the second quarter of fiscal year 2022 compared to the comparable 13-week period of fiscal year 2021. The decrease seen in the firearm category is primarily due to the impact of consumer inflationary pressures and recessionary concerns, partially offset by the opening of 12 new stores since July 31, 2021. The increase in the ammunition category is due to a decrease in supply chain disruptions in this category as well as the opening of 12 new stores since July 31, 2021.</w:t>
      </w:r>
    </w:p>
    <w:p>
      <w:pPr>
        <w:spacing w:after="0" w:line="125" w:lineRule="exact"/>
        <w:rPr>
          <w:sz w:val="20"/>
          <w:szCs w:val="20"/>
          <w:color w:val="auto"/>
        </w:rPr>
      </w:pPr>
    </w:p>
    <w:p>
      <w:pPr>
        <w:ind w:left="20" w:right="79"/>
        <w:spacing w:after="0" w:line="274" w:lineRule="auto"/>
        <w:rPr>
          <w:sz w:val="20"/>
          <w:szCs w:val="20"/>
          <w:color w:val="auto"/>
        </w:rPr>
      </w:pPr>
      <w:r>
        <w:rPr>
          <w:rFonts w:ascii="Times New Roman" w:cs="Times New Roman" w:eastAsia="Times New Roman" w:hAnsi="Times New Roman"/>
          <w:sz w:val="12"/>
          <w:szCs w:val="12"/>
          <w:color w:val="auto"/>
        </w:rPr>
        <w:t>With respect to same store sales, during the 13 weeks ended July 30, 2022, our fishing, optics, electronics and accessories, camping, footwear, hunting and shooting and apparel departments saw decreases of 18.5%, 18.1%, 13.5%, 7.1%, 6.1% and 1.4%, respectively, as we began to see the impact of consumer inflationary pressures and recessionary concerns. As of July 30, 2022, we had 114 stores included in our same store sales calculation.</w:t>
      </w:r>
    </w:p>
    <w:p>
      <w:pPr>
        <w:spacing w:after="0" w:line="113" w:lineRule="exact"/>
        <w:rPr>
          <w:sz w:val="20"/>
          <w:szCs w:val="20"/>
          <w:color w:val="auto"/>
        </w:rPr>
      </w:pPr>
    </w:p>
    <w:p>
      <w:pPr>
        <w:ind w:left="20" w:right="59"/>
        <w:spacing w:after="0" w:line="269" w:lineRule="auto"/>
        <w:rPr>
          <w:sz w:val="20"/>
          <w:szCs w:val="20"/>
          <w:color w:val="auto"/>
        </w:rPr>
      </w:pPr>
      <w:r>
        <w:rPr>
          <w:rFonts w:ascii="Times New Roman" w:cs="Times New Roman" w:eastAsia="Times New Roman" w:hAnsi="Times New Roman"/>
          <w:sz w:val="12"/>
          <w:szCs w:val="12"/>
          <w:b w:val="1"/>
          <w:bCs w:val="1"/>
          <w:i w:val="1"/>
          <w:iCs w:val="1"/>
          <w:color w:val="auto"/>
        </w:rPr>
        <w:t xml:space="preserve">Gross Profit. </w:t>
      </w:r>
      <w:r>
        <w:rPr>
          <w:rFonts w:ascii="Times New Roman" w:cs="Times New Roman" w:eastAsia="Times New Roman" w:hAnsi="Times New Roman"/>
          <w:sz w:val="12"/>
          <w:szCs w:val="12"/>
          <w:color w:val="auto"/>
        </w:rPr>
        <w:t>Gross profit decreased to $117.5 million during the 13 weeks ended July 30, 2022 compared to $120.1 million for the corresponding period of fiscal year 2021. As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percentage of net sales, gross profit increased to 33.5% for the 13 weeks ended July 30, 2022, compared to 33.2% for the corresponding period of fiscal year 2021 primarily driven by increased product margins and favorable shipping, freight and logistical expenses during the period compared to the prior year as we slowed inventory receipts in response to consumer demand. These increases were partially offset by unfavorable product mix.</w:t>
      </w:r>
    </w:p>
    <w:p>
      <w:pPr>
        <w:spacing w:after="0" w:line="116" w:lineRule="exact"/>
        <w:rPr>
          <w:sz w:val="20"/>
          <w:szCs w:val="20"/>
          <w:color w:val="auto"/>
        </w:rPr>
      </w:pPr>
    </w:p>
    <w:p>
      <w:pPr>
        <w:ind w:left="20" w:right="39"/>
        <w:spacing w:after="0" w:line="261"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increased by $1.2 million, or 1.2%, to $97.0 million during the 13 weeks ended July 30,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2022 from $95.9 million for the comparable 13-week period of fiscal year 2021. This increase was primarily due to an increase in other selling, general and administrative expenses of $2.5 million, which was largely the result of a return to pre-pandemic levels of marketing activities compared to the comparable 13-week period of fiscal 2021. We also saw increases in depreciation, rent and management recruiting expenses of $1.4 million, $1.3 million, and $0.7 million, respectively, during the 13 weeks ended July 30, 2022 primarily related to the opening of 12 new stores since July 31, 2021 and the recruiting and hiring of key senior managers. These increases were offset by a decrease in acquisition costs of $2.5 million due to the terminated merger with Great Outdoors Group, a decrease in payroll expense of $1.7 million primarily due to store operational efficiencies and by pre-opening expenses of $0.6 million due to the timing of opening new stores. As a percentage of net sales, selling, general, and administrative expenses increased to 27.6% of net sales in the second quarter of fiscal year 2022, compared to 26.5% of net sales in the second quarter of fiscal year 2021, due to the same reasons disclosed for the increase in selling, general, and administrative expenses.</w:t>
      </w:r>
    </w:p>
    <w:p>
      <w:pPr>
        <w:spacing w:after="0" w:line="270" w:lineRule="exact"/>
        <w:rPr>
          <w:sz w:val="20"/>
          <w:szCs w:val="20"/>
          <w:color w:val="auto"/>
        </w:rPr>
      </w:pPr>
    </w:p>
    <w:p>
      <w:pPr>
        <w:ind w:left="20" w:right="119"/>
        <w:spacing w:after="0" w:line="275"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w:t>
      </w:r>
      <w:r>
        <w:rPr>
          <w:rFonts w:ascii="Times New Roman" w:cs="Times New Roman" w:eastAsia="Times New Roman" w:hAnsi="Times New Roman"/>
          <w:sz w:val="12"/>
          <w:szCs w:val="12"/>
          <w:color w:val="auto"/>
        </w:rPr>
        <w:t>Interest expense increased by $0.5 million, or 166.7%, to $0.8 million during the 13 weeks ended July 30, 2022 from $0.3 million for the comparable 13-week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period of fiscal year 2021. Interest expense increased primarily as a result of increased borrowings and higher interest rates on our revolving credit facility during the second quarter of fiscal year 2022 compared to the second quarter of fiscal year 2021.</w:t>
      </w:r>
    </w:p>
    <w:p>
      <w:pPr>
        <w:spacing w:after="0" w:line="114" w:lineRule="exact"/>
        <w:rPr>
          <w:sz w:val="20"/>
          <w:szCs w:val="20"/>
          <w:color w:val="auto"/>
        </w:rPr>
      </w:pPr>
    </w:p>
    <w:p>
      <w:pPr>
        <w:ind w:left="20" w:right="39"/>
        <w:spacing w:after="0" w:line="275"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Income Taxes. </w:t>
      </w:r>
      <w:r>
        <w:rPr>
          <w:rFonts w:ascii="Times New Roman" w:cs="Times New Roman" w:eastAsia="Times New Roman" w:hAnsi="Times New Roman"/>
          <w:sz w:val="12"/>
          <w:szCs w:val="12"/>
          <w:color w:val="auto"/>
        </w:rPr>
        <w:t>We recognized income tax expense of $5.1 million during the 13 weeks ended July 30, 2022 compared to an income tax expense of $6.2 million during the comparable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13-week period of fiscal year 2021. Our effective tax rates for the 13 weeks ended July 30, 2022 and July 31, 2021 were 26.0% and 25.9%, respectively. Our effective tax rate will generally differ from the U.S. Federal statutory rate of 21.0%, due to state taxes, permanent items, and discrete items relating to stock award deductions.</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Twenty-Six Weeks Ended July 30, 2022 Compared to Twenty-Six Weeks Ended July 31, 2021</w:t>
      </w:r>
    </w:p>
    <w:p>
      <w:pPr>
        <w:spacing w:after="0" w:line="156"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Sales. </w:t>
      </w:r>
      <w:r>
        <w:rPr>
          <w:rFonts w:ascii="Times New Roman" w:cs="Times New Roman" w:eastAsia="Times New Roman" w:hAnsi="Times New Roman"/>
          <w:sz w:val="12"/>
          <w:szCs w:val="12"/>
          <w:color w:val="auto"/>
        </w:rPr>
        <w:t>Net sales decreased by $28.3 million, or 4.1%, to $660.5 million during the 26 weeks ended July 30, 2022 compared to $688.8 million in the corresponding period of fiscal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year 2021. Our net sales decreased primarily due to lower demand across most product categories as we anniversaried the increased demand during the first half of fiscal 2021 driven by the COVID-19 economic stimulus package (the American Rescue Plan) and social unrest and the impact of current year consumer inflationary pressures and recessionary concerns. These headwinds were partially offset by our opening of 12 new stores since July 31, 2021. Stores that have been open for less than 12 months and were, therefore, not included in our same store sales, contributed $45.1 million to net sales. Same store sales decreased by 10.4% for the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26 weeks ended July 30, 2022 compared to the comparable 26-week period of fiscal year 2021, primarily driven by decreases in most of our categories.</w:t>
      </w:r>
    </w:p>
    <w:p>
      <w:pPr>
        <w:spacing w:after="0" w:line="156"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Our apparel category saw an increase of $1.5 million during the 26 weeks ended July 30, 2022 compared to the comparable 26-week period of fiscal year 2021 primarily due to the opening of 12 new stores since July 31, 2021. Our fishing, camping, optics, electronics and accessories, hunting and shooting and footwear categories saw decreases of $13.1 million, $8.5 million, $7.0 million, $1.9 million and $0.9 million, respectively, during the 26 weeks ended July 30, 2022 compared to the comparable 26-week period of fiscal year 2021. Within the hunting and shooting department, our firearm category saw a decrease of $11.9 million or 7.3%, while our ammunition category saw an increase of $8.5 million or 8.0% during the 26 weeks ended July 30, 2022 compared to the comparable 26-week period of fiscal year 2021. The decrease seen in the firearm category is primarily due to lower demand across most product categories as we anniversaried the increased demand during the first half of fiscal 2021 driven by the COVID-19 economic stimulus package (the American Rescue Plan) and social unrest and the impact of current year consumer inflationary pressures and recessionary concerns. These headwinds were partially offset by the opening of 12 new stores since July 31, 2021. The increase in the ammunition category is due to a decrease in supply chain disruptions in this category as well as the opening of 12 new stores since July 31, 2021.</w:t>
      </w:r>
    </w:p>
    <w:p>
      <w:pPr>
        <w:spacing w:after="0" w:line="274" w:lineRule="exact"/>
        <w:rPr>
          <w:sz w:val="20"/>
          <w:szCs w:val="20"/>
          <w:color w:val="auto"/>
        </w:rPr>
      </w:pPr>
    </w:p>
    <w:p>
      <w:pPr>
        <w:ind w:left="20" w:right="259"/>
        <w:spacing w:after="0" w:line="267" w:lineRule="auto"/>
        <w:rPr>
          <w:sz w:val="20"/>
          <w:szCs w:val="20"/>
          <w:color w:val="auto"/>
        </w:rPr>
      </w:pPr>
      <w:r>
        <w:rPr>
          <w:rFonts w:ascii="Times New Roman" w:cs="Times New Roman" w:eastAsia="Times New Roman" w:hAnsi="Times New Roman"/>
          <w:sz w:val="12"/>
          <w:szCs w:val="12"/>
          <w:color w:val="auto"/>
        </w:rPr>
        <w:t>With respect to same store sales, during the 26 weeks ended July 30, 2022, our fishing, optics, electronics and accessories, camping, hunting and shooting, footwear and apparel departments saw decreases of 18.9%, 17.1%, 14.0%, 8.1%, 7.0% and 2.8%, respectively, primarily due to lower demand across most product categories as we anniversaried the increased demand during the first half of fiscal 2021 driven by the COVID-19 economic stimulus package (the American Rescue Plan) and social unrest and the impact of current year consumer inflationary pressures and recessionary concerns. As of July 30, 2022, we had 114 stores included in our same store sales calculation.</w:t>
      </w:r>
    </w:p>
    <w:p>
      <w:pPr>
        <w:spacing w:after="0" w:line="119" w:lineRule="exact"/>
        <w:rPr>
          <w:sz w:val="20"/>
          <w:szCs w:val="20"/>
          <w:color w:val="auto"/>
        </w:rPr>
      </w:pPr>
    </w:p>
    <w:p>
      <w:pPr>
        <w:ind w:left="20" w:right="39"/>
        <w:spacing w:after="0" w:line="269" w:lineRule="auto"/>
        <w:rPr>
          <w:sz w:val="20"/>
          <w:szCs w:val="20"/>
          <w:color w:val="auto"/>
        </w:rPr>
      </w:pPr>
      <w:r>
        <w:rPr>
          <w:rFonts w:ascii="Times New Roman" w:cs="Times New Roman" w:eastAsia="Times New Roman" w:hAnsi="Times New Roman"/>
          <w:sz w:val="12"/>
          <w:szCs w:val="12"/>
          <w:b w:val="1"/>
          <w:bCs w:val="1"/>
          <w:i w:val="1"/>
          <w:iCs w:val="1"/>
          <w:color w:val="auto"/>
        </w:rPr>
        <w:t xml:space="preserve">Gross Profit. </w:t>
      </w:r>
      <w:r>
        <w:rPr>
          <w:rFonts w:ascii="Times New Roman" w:cs="Times New Roman" w:eastAsia="Times New Roman" w:hAnsi="Times New Roman"/>
          <w:sz w:val="12"/>
          <w:szCs w:val="12"/>
          <w:color w:val="auto"/>
        </w:rPr>
        <w:t>Gross profit decreased to $216.6 million during the 26 weeks ended July 30, 2022 compared to $224.1 million for the corresponding period of fiscal year 2021 primarily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due to lower net sales. As a percentage of net sales, gross profit increased to 32.8% for the 26 weeks ended July 30, 2022, compared to 32.5% for the corresponding period of fiscal year 2021 primarily driven by increased product margins across most departments and decreased shipping, freight and logistical expenses during the period compared to the prior year as we slowed inventory receipts in response to consumer demand.</w:t>
      </w:r>
    </w:p>
    <w:p>
      <w:pPr>
        <w:spacing w:after="0" w:line="116" w:lineRule="exact"/>
        <w:rPr>
          <w:sz w:val="20"/>
          <w:szCs w:val="20"/>
          <w:color w:val="auto"/>
        </w:rPr>
      </w:pPr>
    </w:p>
    <w:p>
      <w:pPr>
        <w:ind w:left="20" w:right="79"/>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increased by $6.8 million, or 3.7%, to $193.1 million during the 26 weeks ended July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30, 2022 from $186.3 million for the comparable 13-week period of fiscal year 2021. This increase was primarily due to an increase in other selling, general and administrative expenses of $7.1 million, which was largely the result of a return to pre-pandemic levels of marketing and travel activities compared to the comparable 26-week period of fiscal 2021. We also had increased pre-opening expenses of $0.1 million due to the timing of opening new stores, as well as increases in depreciation, rent and management recruiting expenses of $3.0 million, $1.9 million, and $0.9 million, respectively, during the 26 weeks ended July 30, 2022 primarily related to the opening of 12 new stores since July 31, 2021 and the recruiting and hiring of key senior managers. These increases were offset by a decrease in acquisition costs of $5.3 million due to the terminated merger with Great Outdoors Group and a decrease in payroll expense of $0.9 million primarily due to store operational efficiencies. As a percentage of net sales, selling, general, and administrative expenses increased to 29.2% of net sales in the first 26 weeks of fiscal year 2022, compared to 27.0% of net sales in the first 26 weeks of fiscal year 2021, due to the same reasons disclosed for the increase in selling, general, and administrative expenses.</w:t>
      </w:r>
    </w:p>
    <w:p>
      <w:pPr>
        <w:spacing w:after="0" w:line="125" w:lineRule="exact"/>
        <w:rPr>
          <w:sz w:val="20"/>
          <w:szCs w:val="20"/>
          <w:color w:val="auto"/>
        </w:rPr>
      </w:pPr>
    </w:p>
    <w:p>
      <w:pPr>
        <w:ind w:left="20" w:right="159"/>
        <w:spacing w:after="0" w:line="275"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w:t>
      </w:r>
      <w:r>
        <w:rPr>
          <w:rFonts w:ascii="Times New Roman" w:cs="Times New Roman" w:eastAsia="Times New Roman" w:hAnsi="Times New Roman"/>
          <w:sz w:val="12"/>
          <w:szCs w:val="12"/>
          <w:color w:val="auto"/>
        </w:rPr>
        <w:t>Interest expense increased by $0.8 million, or 160.0%, to $1.3 million during the 26 weeks ended July 30, 2022 from $0.5 million for the comparable 26-week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period of fiscal year 2021. Interest expense increased primarily as a result of increased borrowings and higher interest rates on our revolving credit facility during the first 26 weeks of fiscal year 2022 compared to the first 26 weeks of fiscal year 2021.</w:t>
      </w:r>
    </w:p>
    <w:p>
      <w:pPr>
        <w:spacing w:after="0" w:line="114" w:lineRule="exact"/>
        <w:rPr>
          <w:sz w:val="20"/>
          <w:szCs w:val="20"/>
          <w:color w:val="auto"/>
        </w:rPr>
      </w:pPr>
    </w:p>
    <w:p>
      <w:pPr>
        <w:jc w:val="both"/>
        <w:ind w:left="20" w:right="219"/>
        <w:spacing w:after="0" w:line="275"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Income Taxes. </w:t>
      </w:r>
      <w:r>
        <w:rPr>
          <w:rFonts w:ascii="Times New Roman" w:cs="Times New Roman" w:eastAsia="Times New Roman" w:hAnsi="Times New Roman"/>
          <w:sz w:val="12"/>
          <w:szCs w:val="12"/>
          <w:color w:val="auto"/>
        </w:rPr>
        <w:t>We recognized income tax expense of $5.6 million compared to an income tax expense of $9.1 million during the 26 weeks ended July 30, 2022 and July 31, 2021,</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respectively. Our effective tax rate for the 26 weeks ended July 30, 2022 and July 31, 2021 was 25.1% and 24.5%, respectively. Our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5" w:lineRule="exact"/>
        <w:rPr>
          <w:sz w:val="20"/>
          <w:szCs w:val="20"/>
          <w:color w:val="auto"/>
        </w:rPr>
      </w:pPr>
    </w:p>
    <w:p>
      <w:pPr>
        <w:jc w:val="both"/>
        <w:ind w:left="20" w:right="119"/>
        <w:spacing w:after="0" w:line="274" w:lineRule="auto"/>
        <w:rPr>
          <w:sz w:val="20"/>
          <w:szCs w:val="20"/>
          <w:color w:val="auto"/>
        </w:rPr>
      </w:pPr>
      <w:r>
        <w:rPr>
          <w:rFonts w:ascii="Times New Roman" w:cs="Times New Roman" w:eastAsia="Times New Roman" w:hAnsi="Times New Roman"/>
          <w:sz w:val="12"/>
          <w:szCs w:val="12"/>
          <w:color w:val="auto"/>
        </w:rPr>
        <w:t>Due to the openings of hunting season across the country and consumers’ holiday buying patterns, net sales are typically higher in the third and fourth fiscal quarters than in the first and second fiscal quarters. We also incur additional expenses in the third and fourth fiscal quarters due to higher sales volume and increased staffing in our stores. We anticipate that our net sales will continue to reflect this seasonal pattern.</w:t>
      </w:r>
    </w:p>
    <w:p>
      <w:pPr>
        <w:spacing w:after="0" w:line="115" w:lineRule="exact"/>
        <w:rPr>
          <w:sz w:val="20"/>
          <w:szCs w:val="20"/>
          <w:color w:val="auto"/>
        </w:rPr>
      </w:pPr>
    </w:p>
    <w:p>
      <w:pPr>
        <w:ind w:left="20" w:right="159"/>
        <w:spacing w:after="0" w:line="267" w:lineRule="auto"/>
        <w:rPr>
          <w:sz w:val="20"/>
          <w:szCs w:val="20"/>
          <w:color w:val="auto"/>
        </w:rPr>
      </w:pPr>
      <w:r>
        <w:rPr>
          <w:rFonts w:ascii="Times New Roman" w:cs="Times New Roman" w:eastAsia="Times New Roman" w:hAnsi="Times New Roman"/>
          <w:sz w:val="12"/>
          <w:szCs w:val="12"/>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21" w:lineRule="exact"/>
        <w:rPr>
          <w:sz w:val="20"/>
          <w:szCs w:val="20"/>
          <w:color w:val="auto"/>
        </w:rPr>
      </w:pPr>
    </w:p>
    <w:p>
      <w:pPr>
        <w:ind w:left="20" w:right="79"/>
        <w:spacing w:after="0" w:line="292" w:lineRule="auto"/>
        <w:rPr>
          <w:sz w:val="20"/>
          <w:szCs w:val="20"/>
          <w:color w:val="auto"/>
        </w:rPr>
      </w:pPr>
      <w:r>
        <w:rPr>
          <w:rFonts w:ascii="Times New Roman" w:cs="Times New Roman" w:eastAsia="Times New Roman" w:hAnsi="Times New Roman"/>
          <w:sz w:val="12"/>
          <w:szCs w:val="12"/>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Overview; Sources and Uses of Cash</w:t>
      </w:r>
    </w:p>
    <w:p>
      <w:pPr>
        <w:spacing w:after="0" w:line="186" w:lineRule="exact"/>
        <w:rPr>
          <w:sz w:val="20"/>
          <w:szCs w:val="20"/>
          <w:color w:val="auto"/>
        </w:rPr>
      </w:pPr>
    </w:p>
    <w:p>
      <w:pPr>
        <w:ind w:left="20" w:right="139"/>
        <w:spacing w:after="0" w:line="264" w:lineRule="auto"/>
        <w:rPr>
          <w:sz w:val="20"/>
          <w:szCs w:val="20"/>
          <w:color w:val="auto"/>
        </w:rPr>
      </w:pPr>
      <w:r>
        <w:rPr>
          <w:rFonts w:ascii="Times New Roman" w:cs="Times New Roman" w:eastAsia="Times New Roman" w:hAnsi="Times New Roman"/>
          <w:sz w:val="12"/>
          <w:szCs w:val="12"/>
          <w:color w:val="auto"/>
        </w:rPr>
        <w:t>Our primary cash requirements are for seasonal working capital needs and capital expenditures related to opening and acquiring new store locations. For both the short-term and the long-term, our sources of liquidity to meet these needs have primarily been borrowings under our revolving credit facility, operating cash flows and short and long-term debt financings from banks and financial institutions. We believe that our cash on hand, cash generated by operating activities and funds available under our revolving credit facility will be sufficient to finance our operating activities for at least the next twelve months and beyond. In addition, on December 2, 2021, we received a $55.0 million cash payment from Great Outdoors Group, LLC (“Great Outdoors Group”) in connection with the termination of our previously pending merger with a subsidiary of Great Outdoors Group.</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Material Cash Requirements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material cash requirements are primarily for opening and acquiring new store locations, along with our general operating expenses and other expenses discussed below.</w:t>
      </w:r>
    </w:p>
    <w:p>
      <w:pPr>
        <w:spacing w:after="0" w:line="182"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i w:val="1"/>
          <w:iCs w:val="1"/>
          <w:color w:val="auto"/>
        </w:rPr>
        <w:t xml:space="preserve">Capital Expenditures. </w:t>
      </w:r>
      <w:r>
        <w:rPr>
          <w:rFonts w:ascii="Times New Roman" w:cs="Times New Roman" w:eastAsia="Times New Roman" w:hAnsi="Times New Roman"/>
          <w:sz w:val="12"/>
          <w:szCs w:val="12"/>
          <w:color w:val="auto"/>
        </w:rPr>
        <w:t>For the 26 weeks ended July 30, 2022, we incurred approximately $22.6 million in capital expenditures primarily related to the construction of new stores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refurbishment of existing stores during the period. We expect capital expenditures between $48 million and $55 million for fiscal year 2022 primarily to refurbish some of our existing stores and to open up to 10 new stores in fiscal year 2022.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39" w:lineRule="exact"/>
        <w:rPr>
          <w:sz w:val="20"/>
          <w:szCs w:val="20"/>
          <w:color w:val="auto"/>
        </w:rPr>
      </w:pPr>
    </w:p>
    <w:p>
      <w:pPr>
        <w:ind w:left="20" w:right="99"/>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Principal and Interest Payments. </w:t>
      </w:r>
      <w:r>
        <w:rPr>
          <w:rFonts w:ascii="Times New Roman" w:cs="Times New Roman" w:eastAsia="Times New Roman" w:hAnsi="Times New Roman"/>
          <w:sz w:val="12"/>
          <w:szCs w:val="12"/>
          <w:color w:val="auto"/>
        </w:rPr>
        <w:t>We maintain a $350.0 million revolving credit facility. As of July 30, 2022, $105.7 million was outstanding under the revolving credit facility.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Assuming no additional repayments or borrowings on our revolving credit facility after July 30, 2022 our interest payments would be approximately $3.5 million for fiscal year 2022 based on the interest rate at July 30, 2022. See below under “Indebtedness” for additional information regarding our revolving credit facility, including the interest rate applicable to any borrowing under such facility.</w:t>
      </w:r>
    </w:p>
    <w:p>
      <w:pPr>
        <w:spacing w:after="0" w:line="144" w:lineRule="exact"/>
        <w:rPr>
          <w:sz w:val="20"/>
          <w:szCs w:val="20"/>
          <w:color w:val="auto"/>
        </w:rPr>
      </w:pPr>
    </w:p>
    <w:p>
      <w:pPr>
        <w:ind w:left="20" w:right="99"/>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Operating Lease Obligations. </w:t>
      </w:r>
      <w:r>
        <w:rPr>
          <w:rFonts w:ascii="Times New Roman" w:cs="Times New Roman" w:eastAsia="Times New Roman" w:hAnsi="Times New Roman"/>
          <w:sz w:val="12"/>
          <w:szCs w:val="12"/>
          <w:color w:val="auto"/>
        </w:rPr>
        <w:t>Lease commitments consist principally of leases for our retail stores, corporate office and distribution center. Our leases often include options which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 us to extend the terms beyond the initial lease term. For the remainder of 2022, our expected operating lease payments will be $32.4 million and our total committed lease payments are $391.4 million as of July 30, 2022. Other operating lease obligations consist of distribution center equipment. Additional information regarding our operating leases is available in our Fiscal 2021 Form 10-K.</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right="159"/>
        <w:spacing w:after="0" w:line="295" w:lineRule="auto"/>
        <w:rPr>
          <w:sz w:val="20"/>
          <w:szCs w:val="20"/>
          <w:color w:val="auto"/>
        </w:rPr>
      </w:pPr>
      <w:r>
        <w:rPr>
          <w:rFonts w:ascii="Times New Roman" w:cs="Times New Roman" w:eastAsia="Times New Roman" w:hAnsi="Times New Roman"/>
          <w:sz w:val="12"/>
          <w:szCs w:val="12"/>
          <w:i w:val="1"/>
          <w:iCs w:val="1"/>
          <w:color w:val="auto"/>
        </w:rPr>
        <w:t xml:space="preserve">Purchase Obligations. </w:t>
      </w:r>
      <w:r>
        <w:rPr>
          <w:rFonts w:ascii="Times New Roman" w:cs="Times New Roman" w:eastAsia="Times New Roman" w:hAnsi="Times New Roman"/>
          <w:sz w:val="12"/>
          <w:szCs w:val="12"/>
          <w:color w:val="auto"/>
        </w:rPr>
        <w:t>In the ordinary course of business, we enter into arrangements with vendors to purchase merchandise in advance of expected delivery. We or the vendor can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generally terminate the purchase orders at any time. These purchase orders do not contain any termination payments or other penalties if cancelled.</w:t>
      </w:r>
    </w:p>
    <w:p>
      <w:pPr>
        <w:spacing w:after="0" w:line="129" w:lineRule="exact"/>
        <w:rPr>
          <w:sz w:val="20"/>
          <w:szCs w:val="20"/>
          <w:color w:val="auto"/>
        </w:rPr>
      </w:pPr>
    </w:p>
    <w:p>
      <w:pPr>
        <w:ind w:left="20" w:right="79"/>
        <w:spacing w:after="0" w:line="263" w:lineRule="auto"/>
        <w:rPr>
          <w:sz w:val="20"/>
          <w:szCs w:val="20"/>
          <w:color w:val="auto"/>
        </w:rPr>
      </w:pPr>
      <w:r>
        <w:rPr>
          <w:rFonts w:ascii="Times New Roman" w:cs="Times New Roman" w:eastAsia="Times New Roman" w:hAnsi="Times New Roman"/>
          <w:sz w:val="12"/>
          <w:szCs w:val="12"/>
          <w:i w:val="1"/>
          <w:iCs w:val="1"/>
          <w:color w:val="auto"/>
        </w:rPr>
        <w:t>Share Repurchase Authorization</w:t>
      </w:r>
      <w:r>
        <w:rPr>
          <w:rFonts w:ascii="Times New Roman" w:cs="Times New Roman" w:eastAsia="Times New Roman" w:hAnsi="Times New Roman"/>
          <w:sz w:val="12"/>
          <w:szCs w:val="12"/>
          <w:color w:val="auto"/>
        </w:rPr>
        <w:t>. Our board authorized a share repurchase program to allow for the repurchase of up to $75.0 million of outstanding shares of our common stock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period from March 31, 2022 to March 31, 2023. We may repurchase shares of our common stock at any time or from time to time, without prior notice, subject to market conditions and other considerations. Our repurchases may be made through Rule 10b5-1 plans, accelerated share repurchase transactions, open market purchases, privately negotiated transactions, tender offers, block purchases or other transactions. We intend to fund repurchases under the repurchase program using cash on hand or available borrowings under our revolving credit facility. We have no obligation to repurchase any shares of our common stock under the share repurchase program and we may modify, suspend or discontinue it at any time. As of July 30, 2022, we had repurchased 5,348,000 shares of our common stock for $52.1 million, utilizing cash on hand.</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flows from operating, investing and financing activities are shown in the following table:</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4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4"/>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96"/>
              </w:rPr>
              <w:t>Twenty-Six Weeks Ended</w:t>
            </w:r>
          </w:p>
        </w:tc>
      </w:tr>
      <w:tr>
        <w:trPr>
          <w:trHeight w:val="74"/>
        </w:trPr>
        <w:tc>
          <w:tcPr>
            <w:tcW w:w="47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jc w:val="right"/>
              <w:ind w:right="247"/>
              <w:spacing w:after="0" w:line="74" w:lineRule="exact"/>
              <w:rPr>
                <w:sz w:val="20"/>
                <w:szCs w:val="20"/>
                <w:color w:val="auto"/>
              </w:rPr>
            </w:pPr>
            <w:r>
              <w:rPr>
                <w:rFonts w:ascii="Times New Roman" w:cs="Times New Roman" w:eastAsia="Times New Roman" w:hAnsi="Times New Roman"/>
                <w:sz w:val="7"/>
                <w:szCs w:val="7"/>
                <w:b w:val="1"/>
                <w:bCs w:val="1"/>
                <w:color w:val="auto"/>
              </w:rPr>
              <w:t>July 30,</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jc w:val="right"/>
              <w:ind w:right="265"/>
              <w:spacing w:after="0" w:line="74" w:lineRule="exact"/>
              <w:rPr>
                <w:sz w:val="20"/>
                <w:szCs w:val="20"/>
                <w:color w:val="auto"/>
              </w:rPr>
            </w:pPr>
            <w:r>
              <w:rPr>
                <w:rFonts w:ascii="Times New Roman" w:cs="Times New Roman" w:eastAsia="Times New Roman" w:hAnsi="Times New Roman"/>
                <w:sz w:val="7"/>
                <w:szCs w:val="7"/>
                <w:b w:val="1"/>
                <w:bCs w:val="1"/>
                <w:color w:val="auto"/>
              </w:rPr>
              <w:t>July 31,</w:t>
            </w:r>
          </w:p>
        </w:tc>
      </w:tr>
      <w:tr>
        <w:trPr>
          <w:trHeight w:val="118"/>
        </w:trPr>
        <w:tc>
          <w:tcPr>
            <w:tcW w:w="4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81"/>
        </w:trPr>
        <w:tc>
          <w:tcPr>
            <w:tcW w:w="47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3"/>
          </w:tcPr>
          <w:p>
            <w:pPr>
              <w:jc w:val="center"/>
              <w:ind w:left="447"/>
              <w:spacing w:after="0" w:line="82"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700" w:type="dxa"/>
            <w:vAlign w:val="bottom"/>
          </w:tcPr>
          <w:p>
            <w:pPr>
              <w:spacing w:after="0"/>
              <w:rPr>
                <w:sz w:val="7"/>
                <w:szCs w:val="7"/>
                <w:color w:val="auto"/>
              </w:rPr>
            </w:pPr>
          </w:p>
        </w:tc>
      </w:tr>
      <w:tr>
        <w:trPr>
          <w:trHeight w:val="14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provided by (used in) operating activities</w:t>
            </w:r>
          </w:p>
        </w:tc>
        <w:tc>
          <w:tcPr>
            <w:tcW w:w="2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7,967</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(67,782)</w:t>
            </w:r>
          </w:p>
        </w:tc>
      </w:tr>
      <w:tr>
        <w:trPr>
          <w:trHeight w:val="147"/>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Cash flows used in investing activities</w:t>
            </w: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(22,588)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(17,936)</w:t>
            </w:r>
          </w:p>
        </w:tc>
      </w:tr>
      <w:tr>
        <w:trPr>
          <w:trHeight w:val="14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(used in) provided by financing activities</w:t>
            </w: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(36,379)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22,813</w:t>
            </w:r>
          </w:p>
        </w:tc>
      </w:tr>
      <w:tr>
        <w:trPr>
          <w:trHeight w:val="159"/>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Cash at end of period</w:t>
            </w: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2,620</w:t>
            </w:r>
          </w:p>
        </w:tc>
      </w:tr>
    </w:tbl>
    <w:p>
      <w:pPr>
        <w:spacing w:after="0" w:line="269" w:lineRule="exact"/>
        <w:rPr>
          <w:sz w:val="20"/>
          <w:szCs w:val="20"/>
          <w:color w:val="auto"/>
        </w:rPr>
      </w:pPr>
    </w:p>
    <w:p>
      <w:pPr>
        <w:ind w:left="20" w:right="99"/>
        <w:spacing w:after="0" w:line="274" w:lineRule="auto"/>
        <w:rPr>
          <w:sz w:val="20"/>
          <w:szCs w:val="20"/>
          <w:color w:val="auto"/>
        </w:rPr>
      </w:pPr>
      <w:r>
        <w:rPr>
          <w:rFonts w:ascii="Times New Roman" w:cs="Times New Roman" w:eastAsia="Times New Roman" w:hAnsi="Times New Roman"/>
          <w:sz w:val="12"/>
          <w:szCs w:val="12"/>
          <w:color w:val="auto"/>
        </w:rPr>
        <w:t>Net cash provided by operating activities was $8.0 million for the 26 weeks ended July 30, 2022, compared to cash used in operating activities of $67.8 million for the corresponding period of fiscal year 2021, a change of approximately $75.8 million. The increase in our cash flows from operating activities was primarily the result of a normalization of our inventory levels in fiscal year 2022 compared to a focus on building up inventory during the first 26 weeks of fiscal 2021.</w:t>
      </w:r>
    </w:p>
    <w:p>
      <w:pPr>
        <w:spacing w:after="0" w:line="115" w:lineRule="exact"/>
        <w:rPr>
          <w:sz w:val="20"/>
          <w:szCs w:val="20"/>
          <w:color w:val="auto"/>
        </w:rPr>
      </w:pPr>
    </w:p>
    <w:p>
      <w:pPr>
        <w:ind w:left="20" w:right="199"/>
        <w:spacing w:after="0" w:line="292" w:lineRule="auto"/>
        <w:rPr>
          <w:sz w:val="20"/>
          <w:szCs w:val="20"/>
          <w:color w:val="auto"/>
        </w:rPr>
      </w:pPr>
      <w:r>
        <w:rPr>
          <w:rFonts w:ascii="Times New Roman" w:cs="Times New Roman" w:eastAsia="Times New Roman" w:hAnsi="Times New Roman"/>
          <w:sz w:val="12"/>
          <w:szCs w:val="12"/>
          <w:color w:val="auto"/>
        </w:rPr>
        <w:t>Net cash used in investing activities was $22.6 million for the 26 weeks ended July 30, 2022 compared to $17.9 million for the corresponding period of fiscal year 2021. For the 26 weeks ended July 30, 2022, we incurred capital expenditures related to the construction of new stores and the refurbishment of existing stores.</w:t>
      </w:r>
    </w:p>
    <w:p>
      <w:pPr>
        <w:spacing w:after="0" w:line="105" w:lineRule="exact"/>
        <w:rPr>
          <w:sz w:val="20"/>
          <w:szCs w:val="20"/>
          <w:color w:val="auto"/>
        </w:rPr>
      </w:pPr>
    </w:p>
    <w:p>
      <w:pPr>
        <w:ind w:left="20" w:right="359"/>
        <w:spacing w:after="0" w:line="274" w:lineRule="auto"/>
        <w:rPr>
          <w:sz w:val="20"/>
          <w:szCs w:val="20"/>
          <w:color w:val="auto"/>
        </w:rPr>
      </w:pPr>
      <w:r>
        <w:rPr>
          <w:rFonts w:ascii="Times New Roman" w:cs="Times New Roman" w:eastAsia="Times New Roman" w:hAnsi="Times New Roman"/>
          <w:sz w:val="12"/>
          <w:szCs w:val="12"/>
          <w:color w:val="auto"/>
        </w:rPr>
        <w:t>Net cash used in financing activities was $36.4 million for the 26 weeks ended July 30, 2022, compared to net cash provided in financing activities of $22.8 million for the corresponding period of fiscal year 2021, a change of approximately $59.2 million. The increase in cash used in financing activities was primarily the result of our use of $52.1 million to repurchase our common stock.</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Indebtedness</w:t>
      </w:r>
    </w:p>
    <w:p>
      <w:pPr>
        <w:spacing w:after="0" w:line="186" w:lineRule="exact"/>
        <w:rPr>
          <w:sz w:val="20"/>
          <w:szCs w:val="20"/>
          <w:color w:val="auto"/>
        </w:rPr>
      </w:pPr>
    </w:p>
    <w:p>
      <w:pPr>
        <w:ind w:left="20" w:right="259"/>
        <w:spacing w:after="0" w:line="267" w:lineRule="auto"/>
        <w:rPr>
          <w:sz w:val="20"/>
          <w:szCs w:val="20"/>
          <w:color w:val="auto"/>
        </w:rPr>
      </w:pPr>
      <w:r>
        <w:rPr>
          <w:rFonts w:ascii="Times New Roman" w:cs="Times New Roman" w:eastAsia="Times New Roman" w:hAnsi="Times New Roman"/>
          <w:sz w:val="12"/>
          <w:szCs w:val="12"/>
          <w:color w:val="auto"/>
        </w:rPr>
        <w:t>As of July 30, 2022, we maintained a $350.0 million revolving credit facility, with $105.7 million outstanding. Borrowings under our revolving credit facility are subject to a borrowing base calculation. Our revolving credit facility is governed by an amended and restated credit agreement with a consortium of banks led by Wells Fargo Bank, National Association. As of July 30, 2022, we had $203.2 million available for borrowing, subject to certain borrowing base restrictions, and $2.0 million in stand-by commercial letters of credit.</w:t>
      </w:r>
    </w:p>
    <w:p>
      <w:pPr>
        <w:spacing w:after="0" w:line="121" w:lineRule="exact"/>
        <w:rPr>
          <w:sz w:val="20"/>
          <w:szCs w:val="20"/>
          <w:color w:val="auto"/>
        </w:rPr>
      </w:pPr>
    </w:p>
    <w:p>
      <w:pPr>
        <w:ind w:left="20" w:right="159"/>
        <w:spacing w:after="0" w:line="267" w:lineRule="auto"/>
        <w:rPr>
          <w:sz w:val="20"/>
          <w:szCs w:val="20"/>
          <w:color w:val="auto"/>
        </w:rPr>
      </w:pPr>
      <w:r>
        <w:rPr>
          <w:rFonts w:ascii="Times New Roman" w:cs="Times New Roman" w:eastAsia="Times New Roman" w:hAnsi="Times New Roman"/>
          <w:sz w:val="12"/>
          <w:szCs w:val="12"/>
          <w:color w:val="auto"/>
        </w:rPr>
        <w:t>Borrowings under the revolving credit facility bear interest based on either the base rate or Term SOFR, at our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credit facility, which varies based on the average daily availability, ranges from 0.25% to 0.50% per year for base rate loans and from 1.35% to 1.60% per year for Term SOFR loans. We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4045" cy="1143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379"/>
        <w:spacing w:after="0" w:line="292" w:lineRule="auto"/>
        <w:rPr>
          <w:sz w:val="20"/>
          <w:szCs w:val="20"/>
          <w:color w:val="auto"/>
        </w:rPr>
      </w:pPr>
      <w:r>
        <w:rPr>
          <w:rFonts w:ascii="Times New Roman" w:cs="Times New Roman" w:eastAsia="Times New Roman" w:hAnsi="Times New Roman"/>
          <w:sz w:val="12"/>
          <w:szCs w:val="12"/>
          <w:color w:val="auto"/>
        </w:rPr>
        <w:t>are required to pay a commitment fee for the unused portion of the revolving credit facility, which will range from 0.20% to 0.225% per annum, depending on the average daily availability under the revolving credit facility.</w:t>
      </w:r>
    </w:p>
    <w:p>
      <w:pPr>
        <w:spacing w:after="0" w:line="105" w:lineRule="exact"/>
        <w:rPr>
          <w:sz w:val="20"/>
          <w:szCs w:val="20"/>
          <w:color w:val="auto"/>
        </w:rPr>
      </w:pPr>
    </w:p>
    <w:p>
      <w:pPr>
        <w:ind w:left="20" w:right="159"/>
        <w:spacing w:after="0" w:line="267" w:lineRule="auto"/>
        <w:rPr>
          <w:sz w:val="20"/>
          <w:szCs w:val="20"/>
          <w:color w:val="auto"/>
        </w:rPr>
      </w:pPr>
      <w:r>
        <w:rPr>
          <w:rFonts w:ascii="Times New Roman" w:cs="Times New Roman" w:eastAsia="Times New Roman" w:hAnsi="Times New Roman"/>
          <w:sz w:val="12"/>
          <w:szCs w:val="12"/>
          <w:color w:val="auto"/>
        </w:rPr>
        <w:t>Each of the subsidiaries of Holdings is a borrower under the revolving credit facility, and all obligations under the revolving credit facility are guaranteed by Holdings. All of the obligations under the revolving credit facility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w:t>
      </w:r>
    </w:p>
    <w:p>
      <w:pPr>
        <w:spacing w:after="0" w:line="130" w:lineRule="exact"/>
        <w:rPr>
          <w:sz w:val="20"/>
          <w:szCs w:val="20"/>
          <w:color w:val="auto"/>
        </w:rPr>
      </w:pPr>
    </w:p>
    <w:p>
      <w:pPr>
        <w:jc w:val="both"/>
        <w:ind w:left="20" w:right="259"/>
        <w:spacing w:after="0" w:line="274" w:lineRule="auto"/>
        <w:rPr>
          <w:sz w:val="20"/>
          <w:szCs w:val="20"/>
          <w:color w:val="auto"/>
        </w:rPr>
      </w:pPr>
      <w:r>
        <w:rPr>
          <w:rFonts w:ascii="Times New Roman" w:cs="Times New Roman" w:eastAsia="Times New Roman" w:hAnsi="Times New Roman"/>
          <w:sz w:val="12"/>
          <w:szCs w:val="12"/>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15" w:lineRule="exact"/>
        <w:rPr>
          <w:sz w:val="20"/>
          <w:szCs w:val="20"/>
          <w:color w:val="auto"/>
        </w:rPr>
      </w:pPr>
    </w:p>
    <w:p>
      <w:pPr>
        <w:ind w:left="20" w:right="39"/>
        <w:spacing w:after="0" w:line="264" w:lineRule="auto"/>
        <w:rPr>
          <w:sz w:val="20"/>
          <w:szCs w:val="20"/>
          <w:color w:val="auto"/>
        </w:rPr>
      </w:pPr>
      <w:r>
        <w:rPr>
          <w:rFonts w:ascii="Times New Roman" w:cs="Times New Roman" w:eastAsia="Times New Roman" w:hAnsi="Times New Roman"/>
          <w:sz w:val="12"/>
          <w:szCs w:val="12"/>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contains customary events of default. As of July 30, 2022, we were in compliance with all covenants under the credit agreement governing our revolving credit facility.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85" w:lineRule="exact"/>
        <w:rPr>
          <w:sz w:val="20"/>
          <w:szCs w:val="20"/>
          <w:color w:val="auto"/>
        </w:rPr>
      </w:pPr>
    </w:p>
    <w:p>
      <w:pPr>
        <w:ind w:left="20" w:right="159"/>
        <w:spacing w:after="0" w:line="263" w:lineRule="auto"/>
        <w:rPr>
          <w:sz w:val="20"/>
          <w:szCs w:val="20"/>
          <w:color w:val="auto"/>
        </w:rPr>
      </w:pPr>
      <w:r>
        <w:rPr>
          <w:rFonts w:ascii="Times New Roman" w:cs="Times New Roman" w:eastAsia="Times New Roman" w:hAnsi="Times New Roman"/>
          <w:sz w:val="12"/>
          <w:szCs w:val="12"/>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There have been no significant changes to our critical accounting policies as described in our Fiscal 2021 Form 10-K.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Off Balance Sheet Arrangements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are not party to any off balance sheet arrangements.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Non-GAAP Measures</w:t>
      </w:r>
    </w:p>
    <w:p>
      <w:pPr>
        <w:spacing w:after="0" w:line="158" w:lineRule="exact"/>
        <w:rPr>
          <w:sz w:val="20"/>
          <w:szCs w:val="20"/>
          <w:color w:val="auto"/>
        </w:rPr>
      </w:pPr>
    </w:p>
    <w:p>
      <w:pPr>
        <w:ind w:left="20" w:right="59"/>
        <w:spacing w:after="0" w:line="259" w:lineRule="auto"/>
        <w:rPr>
          <w:sz w:val="20"/>
          <w:szCs w:val="20"/>
          <w:color w:val="auto"/>
        </w:rPr>
      </w:pPr>
      <w:r>
        <w:rPr>
          <w:rFonts w:ascii="Times New Roman" w:cs="Times New Roman" w:eastAsia="Times New Roman" w:hAnsi="Times New Roman"/>
          <w:sz w:val="12"/>
          <w:szCs w:val="12"/>
          <w:color w:val="auto"/>
        </w:rPr>
        <w:t>In evaluating our business, we use Adjusted EBITDA and Adjusted EBITDA margin as supplemental measures of our operating performance. We define Adjusted EBITDA as net income plus interest expense, income tax expense, depreciation and amortization, stock-based compensation expense, pre-opening expenses, and other gains, losses and expenses that we do not believe are indicative of our ongoing expenses. Adjusted EBITDA excludes pre-opening expenses because we do not believe these expenses are indicative of the underlying operating performance of our stores. The amount and timing of pre-opening expenses are dependent on, among other things, the size of new stores opened and the number of new stores opened during any given period. Adjusted EBITDA margin means,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compare our results of operations from period to period on a consistent basis by excluding items that management does not believe are indicative of our core operating performance.</w:t>
      </w:r>
    </w:p>
    <w:p>
      <w:pPr>
        <w:spacing w:after="0" w:line="156" w:lineRule="exact"/>
        <w:rPr>
          <w:sz w:val="20"/>
          <w:szCs w:val="20"/>
          <w:color w:val="auto"/>
        </w:rPr>
      </w:pPr>
    </w:p>
    <w:p>
      <w:pPr>
        <w:jc w:val="both"/>
        <w:ind w:left="20" w:right="119"/>
        <w:spacing w:after="0" w:line="274" w:lineRule="auto"/>
        <w:rPr>
          <w:sz w:val="20"/>
          <w:szCs w:val="20"/>
          <w:color w:val="auto"/>
        </w:rPr>
      </w:pPr>
      <w:r>
        <w:rPr>
          <w:rFonts w:ascii="Times New Roman" w:cs="Times New Roman" w:eastAsia="Times New Roman" w:hAnsi="Times New Roman"/>
          <w:sz w:val="12"/>
          <w:szCs w:val="12"/>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189" w:lineRule="exact"/>
        <w:rPr>
          <w:sz w:val="20"/>
          <w:szCs w:val="20"/>
          <w:color w:val="auto"/>
        </w:rPr>
      </w:pPr>
    </w:p>
    <w:p>
      <w:pPr>
        <w:ind w:left="560" w:hanging="225"/>
        <w:spacing w:after="0"/>
        <w:tabs>
          <w:tab w:leader="none" w:pos="5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our cash expenditures or future requirements for capital expenditures or contractual commitments;</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changes in, or cash requirements for, our working capital needs;</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may be defined differently by other companies, and, therefore, it may not be directly comparable to the results of other companies in our industry;</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the interest expense, or the cash requirements necessary to service interest or principal payments, on our debt; and</w:t>
      </w:r>
    </w:p>
    <w:p>
      <w:pPr>
        <w:spacing w:after="0" w:line="82" w:lineRule="exact"/>
        <w:rPr>
          <w:rFonts w:ascii="Times New Roman" w:cs="Times New Roman" w:eastAsia="Times New Roman" w:hAnsi="Times New Roman"/>
          <w:sz w:val="12"/>
          <w:szCs w:val="12"/>
          <w:color w:val="auto"/>
        </w:rPr>
      </w:pPr>
    </w:p>
    <w:p>
      <w:pPr>
        <w:ind w:left="560" w:hanging="225"/>
        <w:spacing w:after="0"/>
        <w:tabs>
          <w:tab w:leader="none" w:pos="5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income taxes or the cash requirements for any tax payments.</w:t>
      </w:r>
    </w:p>
    <w:p>
      <w:pPr>
        <w:spacing w:after="0" w:line="156" w:lineRule="exact"/>
        <w:rPr>
          <w:sz w:val="20"/>
          <w:szCs w:val="20"/>
          <w:color w:val="auto"/>
        </w:rPr>
      </w:pPr>
    </w:p>
    <w:p>
      <w:pPr>
        <w:ind w:left="20" w:right="99"/>
        <w:spacing w:after="0" w:line="292" w:lineRule="auto"/>
        <w:rPr>
          <w:sz w:val="20"/>
          <w:szCs w:val="20"/>
          <w:color w:val="auto"/>
        </w:rPr>
      </w:pPr>
      <w:r>
        <w:rPr>
          <w:rFonts w:ascii="Times New Roman" w:cs="Times New Roman" w:eastAsia="Times New Roman" w:hAnsi="Times New Roman"/>
          <w:sz w:val="12"/>
          <w:szCs w:val="12"/>
          <w:color w:val="auto"/>
        </w:rPr>
        <w:t>The following table presents a reconciliation of net income, the most directly comparable financial measure presented in accordance with GAAP, to Adjusted EBITDA for the 13 and 26 weeks ended July 30, 2022 and July 31, 2021.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2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80" w:type="dxa"/>
            <w:vAlign w:val="bottom"/>
          </w:tcPr>
          <w:p>
            <w:pPr>
              <w:spacing w:after="0"/>
              <w:rPr>
                <w:sz w:val="11"/>
                <w:szCs w:val="11"/>
                <w:color w:val="auto"/>
              </w:rPr>
            </w:pPr>
          </w:p>
        </w:tc>
      </w:tr>
      <w:tr>
        <w:trPr>
          <w:trHeight w:val="132"/>
        </w:trPr>
        <w:tc>
          <w:tcPr>
            <w:tcW w:w="2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16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80" w:type="dxa"/>
            <w:vAlign w:val="bottom"/>
          </w:tcPr>
          <w:p>
            <w:pPr>
              <w:spacing w:after="0"/>
              <w:rPr>
                <w:sz w:val="11"/>
                <w:szCs w:val="11"/>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July 30,</w:t>
            </w:r>
          </w:p>
        </w:tc>
        <w:tc>
          <w:tcPr>
            <w:tcW w:w="8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142"/>
        </w:trPr>
        <w:tc>
          <w:tcPr>
            <w:tcW w:w="2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2"/>
                <w:szCs w:val="12"/>
                <w:color w:val="auto"/>
              </w:rPr>
            </w:pPr>
          </w:p>
        </w:tc>
      </w:tr>
      <w:tr>
        <w:trPr>
          <w:trHeight w:val="131"/>
        </w:trPr>
        <w:tc>
          <w:tcPr>
            <w:tcW w:w="2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28,173</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80" w:type="dxa"/>
            <w:vAlign w:val="bottom"/>
          </w:tcPr>
          <w:p>
            <w:pPr>
              <w:spacing w:after="0"/>
              <w:rPr>
                <w:sz w:val="12"/>
                <w:szCs w:val="12"/>
                <w:color w:val="auto"/>
              </w:rPr>
            </w:pPr>
          </w:p>
        </w:tc>
      </w:tr>
      <w:tr>
        <w:trPr>
          <w:trHeight w:val="147"/>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9,147</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12,136</w:t>
            </w:r>
          </w:p>
        </w:tc>
        <w:tc>
          <w:tcPr>
            <w:tcW w:w="80" w:type="dxa"/>
            <w:vAlign w:val="bottom"/>
          </w:tcPr>
          <w:p>
            <w:pPr>
              <w:spacing w:after="0"/>
              <w:rPr>
                <w:sz w:val="12"/>
                <w:szCs w:val="12"/>
                <w:color w:val="auto"/>
              </w:rPr>
            </w:pPr>
          </w:p>
        </w:tc>
      </w:tr>
      <w:tr>
        <w:trPr>
          <w:trHeight w:val="147"/>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 (1)</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2,043</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Pre-opening expenses (2)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1,378</w:t>
            </w:r>
          </w:p>
        </w:tc>
        <w:tc>
          <w:tcPr>
            <w:tcW w:w="80" w:type="dxa"/>
            <w:vAlign w:val="bottom"/>
          </w:tcPr>
          <w:p>
            <w:pPr>
              <w:spacing w:after="0"/>
              <w:rPr>
                <w:sz w:val="12"/>
                <w:szCs w:val="12"/>
                <w:color w:val="auto"/>
              </w:rPr>
            </w:pPr>
          </w:p>
        </w:tc>
      </w:tr>
      <w:tr>
        <w:trPr>
          <w:trHeight w:val="147"/>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costs (3)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5,306</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Executive transition costs (4)</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020" w:type="dxa"/>
            <w:vAlign w:val="bottom"/>
            <w:tcBorders>
              <w:top w:val="single" w:sz="8" w:color="CCEEFF"/>
              <w:bottom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Adjusted EBITDA</w:t>
            </w:r>
          </w:p>
        </w:tc>
        <w:tc>
          <w:tcPr>
            <w:tcW w:w="180" w:type="dxa"/>
            <w:vAlign w:val="bottom"/>
            <w:tcBorders>
              <w:top w:val="single" w:sz="8" w:color="auto"/>
              <w:bottom w:val="single" w:sz="8" w:color="auto"/>
            </w:tcBorders>
            <w:shd w:val="clear" w:color="auto" w:fill="CCEEFF"/>
          </w:tcPr>
          <w:p>
            <w:pPr>
              <w:jc w:val="right"/>
              <w:ind w:right="3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30,626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35,215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43,573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58,675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8"/>
        </w:trPr>
        <w:tc>
          <w:tcPr>
            <w:tcW w:w="2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351,021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361,778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660,526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688,770</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margin</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2"/>
                <w:szCs w:val="12"/>
                <w:color w:val="auto"/>
              </w:rPr>
            </w:pPr>
          </w:p>
        </w:tc>
      </w:tr>
      <w:tr>
        <w:trPr>
          <w:trHeight w:val="147"/>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 margin (5)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2"/>
                <w:szCs w:val="12"/>
                <w:color w:val="auto"/>
              </w:rPr>
            </w:pPr>
          </w:p>
        </w:tc>
      </w:tr>
      <w:tr>
        <w:trPr>
          <w:trHeight w:val="74"/>
        </w:trPr>
        <w:tc>
          <w:tcPr>
            <w:tcW w:w="2240" w:type="dxa"/>
            <w:vAlign w:val="bottom"/>
            <w:tcBorders>
              <w:bottom w:val="single" w:sz="8" w:color="auto"/>
            </w:tcBorders>
          </w:tcPr>
          <w:p>
            <w:pPr>
              <w:spacing w:after="0"/>
              <w:rPr>
                <w:sz w:val="6"/>
                <w:szCs w:val="6"/>
                <w:color w:val="auto"/>
              </w:rPr>
            </w:pPr>
          </w:p>
        </w:tc>
        <w:tc>
          <w:tcPr>
            <w:tcW w:w="2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42" w:lineRule="exact"/>
        <w:rPr>
          <w:sz w:val="20"/>
          <w:szCs w:val="20"/>
          <w:color w:val="auto"/>
        </w:rPr>
      </w:pPr>
    </w:p>
    <w:p>
      <w:pPr>
        <w:ind w:left="240" w:right="159" w:hanging="217"/>
        <w:spacing w:after="0" w:line="266" w:lineRule="auto"/>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Stock-based compensation expense represents non-cash expenses related to equity instruments granted to employees under our 2019 Performance Incentive Plan and Employee Stock Purchase Plan.</w:t>
      </w:r>
    </w:p>
    <w:p>
      <w:pPr>
        <w:ind w:left="240" w:right="279" w:hanging="217"/>
        <w:spacing w:after="0" w:line="255" w:lineRule="auto"/>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Pre-opening expenses include expenses incurred in the preparation and opening of a new store location, such as payroll, travel and supplies, but do not include the cost of the initial inventory or capital expenditures required to open a location.</w:t>
      </w:r>
    </w:p>
    <w:p>
      <w:pPr>
        <w:ind w:left="240" w:hanging="217"/>
        <w:spacing w:after="0"/>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13 and 26 weeks ended July 31, 2021, included $2.5 and $5.3 million of expenses incurred relating to the terminated merger with Great Outdoors Group.</w:t>
      </w:r>
    </w:p>
    <w:p>
      <w:pPr>
        <w:spacing w:after="0" w:line="9" w:lineRule="exact"/>
        <w:rPr>
          <w:rFonts w:ascii="Times New Roman" w:cs="Times New Roman" w:eastAsia="Times New Roman" w:hAnsi="Times New Roman"/>
          <w:sz w:val="12"/>
          <w:szCs w:val="12"/>
          <w:color w:val="auto"/>
        </w:rPr>
      </w:pPr>
    </w:p>
    <w:p>
      <w:pPr>
        <w:ind w:left="240" w:hanging="217"/>
        <w:spacing w:after="0"/>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incurred relating to the recruitment and hiring of various key members of our senior management team. These events are not expected to be recurring.</w:t>
      </w:r>
    </w:p>
    <w:p>
      <w:pPr>
        <w:spacing w:after="0" w:line="9" w:lineRule="exact"/>
        <w:rPr>
          <w:rFonts w:ascii="Times New Roman" w:cs="Times New Roman" w:eastAsia="Times New Roman" w:hAnsi="Times New Roman"/>
          <w:sz w:val="12"/>
          <w:szCs w:val="12"/>
          <w:color w:val="auto"/>
        </w:rPr>
      </w:pPr>
    </w:p>
    <w:p>
      <w:pPr>
        <w:ind w:left="240" w:hanging="217"/>
        <w:spacing w:after="0"/>
        <w:tabs>
          <w:tab w:leader="none" w:pos="2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calculate net income margin as net income divided by net sales and we define Adjusted EBITDA margin as Adjusted EBITDA divided by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8" w:lineRule="exact"/>
        <w:rPr>
          <w:sz w:val="20"/>
          <w:szCs w:val="20"/>
          <w:color w:val="auto"/>
        </w:rPr>
      </w:pPr>
    </w:p>
    <w:p>
      <w:pPr>
        <w:ind w:left="20" w:right="119"/>
        <w:spacing w:after="0" w:line="261" w:lineRule="auto"/>
        <w:rPr>
          <w:sz w:val="20"/>
          <w:szCs w:val="20"/>
          <w:color w:val="auto"/>
        </w:rPr>
      </w:pPr>
      <w:r>
        <w:rPr>
          <w:rFonts w:ascii="Times New Roman" w:cs="Times New Roman" w:eastAsia="Times New Roman" w:hAnsi="Times New Roman"/>
          <w:sz w:val="12"/>
          <w:szCs w:val="12"/>
          <w:color w:val="auto"/>
        </w:rPr>
        <w:t>Our principal exposure to market risk relates to changes in interest rates. Our revolving credit facility and term loan carry floating interest rates that are tied to LIBOR,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July 30, 2022, assuming the amount outstanding under our revolving credit facility would be outstanding for a full year, a 100 basis point increase in interest rates would have increased our interest expense by $1.1 million. We do not expect that the change in interest rates as a result of the amendment to our credit agreement entered into after July 30, 2022 will materially increase our interest rates. We do not use derivative financial instruments for speculative or trading purposes. However, this does not preclude our adoption of specific hedging strategies in the future.</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23" w:lineRule="exact"/>
        <w:rPr>
          <w:sz w:val="20"/>
          <w:szCs w:val="20"/>
          <w:color w:val="auto"/>
        </w:rPr>
      </w:pPr>
    </w:p>
    <w:p>
      <w:pPr>
        <w:ind w:left="20" w:right="99"/>
        <w:spacing w:after="0" w:line="258" w:lineRule="auto"/>
        <w:rPr>
          <w:sz w:val="20"/>
          <w:szCs w:val="20"/>
          <w:color w:val="auto"/>
        </w:rPr>
      </w:pPr>
      <w:r>
        <w:rPr>
          <w:rFonts w:ascii="Times New Roman" w:cs="Times New Roman" w:eastAsia="Times New Roman" w:hAnsi="Times New Roman"/>
          <w:sz w:val="12"/>
          <w:szCs w:val="12"/>
          <w:color w:val="auto"/>
        </w:rPr>
        <w:t>Our disclosure controls and procedures (as defined in Rules 13a-15(e) and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Report. Based on that evaluation, our Chief Executive Officer and Chief Financial Officer have concluded that our disclosure controls and procedures were effective as of July 30, 2022.</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Inherent Limitations in Effectiveness of Controls</w:t>
      </w:r>
    </w:p>
    <w:p>
      <w:pPr>
        <w:spacing w:after="0" w:line="158" w:lineRule="exact"/>
        <w:rPr>
          <w:sz w:val="20"/>
          <w:szCs w:val="20"/>
          <w:color w:val="auto"/>
        </w:rPr>
      </w:pPr>
    </w:p>
    <w:p>
      <w:pPr>
        <w:ind w:left="20" w:right="59"/>
        <w:spacing w:after="0" w:line="261" w:lineRule="auto"/>
        <w:rPr>
          <w:sz w:val="20"/>
          <w:szCs w:val="20"/>
          <w:color w:val="auto"/>
        </w:rPr>
      </w:pPr>
      <w:r>
        <w:rPr>
          <w:rFonts w:ascii="Times New Roman" w:cs="Times New Roman" w:eastAsia="Times New Roman" w:hAnsi="Times New Roman"/>
          <w:sz w:val="12"/>
          <w:szCs w:val="12"/>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85" w:lineRule="exact"/>
        <w:rPr>
          <w:sz w:val="20"/>
          <w:szCs w:val="20"/>
          <w:color w:val="auto"/>
        </w:rPr>
      </w:pPr>
    </w:p>
    <w:p>
      <w:pPr>
        <w:ind w:left="20" w:right="239"/>
        <w:spacing w:after="0" w:line="292"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during the 13 weeks ended July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 12, “Commitments and Contingencies” to our condensed consolidated financial statements for additional information, which is incorporated herein by reference.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5" w:lineRule="exact"/>
        <w:rPr>
          <w:sz w:val="20"/>
          <w:szCs w:val="20"/>
          <w:color w:val="auto"/>
        </w:rPr>
      </w:pPr>
    </w:p>
    <w:p>
      <w:pPr>
        <w:ind w:left="20" w:right="299"/>
        <w:spacing w:after="0" w:line="292" w:lineRule="auto"/>
        <w:rPr>
          <w:sz w:val="20"/>
          <w:szCs w:val="20"/>
          <w:color w:val="auto"/>
        </w:rPr>
      </w:pPr>
      <w:r>
        <w:rPr>
          <w:rFonts w:ascii="Times New Roman" w:cs="Times New Roman" w:eastAsia="Times New Roman" w:hAnsi="Times New Roman"/>
          <w:sz w:val="12"/>
          <w:szCs w:val="12"/>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assessment of our risk factors from those set forth in our Fiscal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8" w:lineRule="exact"/>
        <w:rPr>
          <w:sz w:val="20"/>
          <w:szCs w:val="20"/>
          <w:color w:val="auto"/>
        </w:rPr>
      </w:pPr>
    </w:p>
    <w:p>
      <w:pPr>
        <w:ind w:left="20" w:right="199"/>
        <w:spacing w:after="0" w:line="292" w:lineRule="auto"/>
        <w:rPr>
          <w:sz w:val="20"/>
          <w:szCs w:val="20"/>
          <w:color w:val="auto"/>
        </w:rPr>
      </w:pPr>
      <w:r>
        <w:rPr>
          <w:rFonts w:ascii="Times New Roman" w:cs="Times New Roman" w:eastAsia="Times New Roman" w:hAnsi="Times New Roman"/>
          <w:sz w:val="12"/>
          <w:szCs w:val="12"/>
          <w:color w:val="auto"/>
        </w:rPr>
        <w:t>The following table sets forth certain information relating to the purchases of our common stock by us and any affiliated purchasers within the meaning of Rule 10b-18(a)(3) under the Exchange Act during the 26 weeks ended July 30, 2022 (dollars in thousands, except share and per share data):</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Average Price Paid per</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Total # of Shares Purchased as</w:t>
            </w: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Maximum Dollar Value of</w:t>
            </w:r>
          </w:p>
        </w:tc>
        <w:tc>
          <w:tcPr>
            <w:tcW w:w="0" w:type="dxa"/>
            <w:vAlign w:val="bottom"/>
          </w:tcPr>
          <w:p>
            <w:pPr>
              <w:spacing w:after="0"/>
              <w:rPr>
                <w:sz w:val="1"/>
                <w:szCs w:val="1"/>
                <w:color w:val="auto"/>
              </w:rPr>
            </w:pPr>
          </w:p>
        </w:tc>
      </w:tr>
      <w:tr>
        <w:trPr>
          <w:trHeight w:val="101"/>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Total # of Shares Purchased</w:t>
            </w:r>
          </w:p>
        </w:tc>
        <w:tc>
          <w:tcPr>
            <w:tcW w:w="1200" w:type="dxa"/>
            <w:vAlign w:val="bottom"/>
            <w:gridSpan w:val="2"/>
            <w:vMerge w:val="continue"/>
          </w:tcPr>
          <w:p>
            <w:pPr>
              <w:spacing w:after="0"/>
              <w:rPr>
                <w:sz w:val="8"/>
                <w:szCs w:val="8"/>
                <w:color w:val="auto"/>
              </w:rPr>
            </w:pPr>
          </w:p>
        </w:tc>
        <w:tc>
          <w:tcPr>
            <w:tcW w:w="1520" w:type="dxa"/>
            <w:vAlign w:val="bottom"/>
            <w:gridSpan w:val="2"/>
          </w:tcPr>
          <w:p>
            <w:pPr>
              <w:jc w:val="center"/>
              <w:ind w:right="140"/>
              <w:spacing w:after="0" w:line="101" w:lineRule="exact"/>
              <w:rPr>
                <w:sz w:val="20"/>
                <w:szCs w:val="20"/>
                <w:color w:val="auto"/>
              </w:rPr>
            </w:pPr>
            <w:r>
              <w:rPr>
                <w:rFonts w:ascii="Times New Roman" w:cs="Times New Roman" w:eastAsia="Times New Roman" w:hAnsi="Times New Roman"/>
                <w:sz w:val="10"/>
                <w:szCs w:val="10"/>
                <w:b w:val="1"/>
                <w:bCs w:val="1"/>
                <w:color w:val="auto"/>
                <w:w w:val="96"/>
              </w:rPr>
              <w:t>Part of a Publicly Announced</w:t>
            </w:r>
          </w:p>
        </w:tc>
        <w:tc>
          <w:tcPr>
            <w:tcW w:w="132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8"/>
              </w:rPr>
              <w:t>Shares that May yet Be</w:t>
            </w:r>
          </w:p>
        </w:tc>
        <w:tc>
          <w:tcPr>
            <w:tcW w:w="0" w:type="dxa"/>
            <w:vAlign w:val="bottom"/>
          </w:tcPr>
          <w:p>
            <w:pPr>
              <w:spacing w:after="0"/>
              <w:rPr>
                <w:sz w:val="1"/>
                <w:szCs w:val="1"/>
                <w:color w:val="auto"/>
              </w:rPr>
            </w:pPr>
          </w:p>
        </w:tc>
      </w:tr>
      <w:tr>
        <w:trPr>
          <w:trHeight w:val="108"/>
        </w:trPr>
        <w:tc>
          <w:tcPr>
            <w:tcW w:w="352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20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0"/>
                <w:szCs w:val="10"/>
                <w:b w:val="1"/>
                <w:bCs w:val="1"/>
                <w:color w:val="auto"/>
                <w:w w:val="95"/>
              </w:rPr>
              <w:t>Share</w:t>
            </w:r>
          </w:p>
        </w:tc>
        <w:tc>
          <w:tcPr>
            <w:tcW w:w="152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0"/>
                <w:szCs w:val="10"/>
                <w:b w:val="1"/>
                <w:bCs w:val="1"/>
                <w:color w:val="auto"/>
                <w:w w:val="99"/>
              </w:rPr>
              <w:t>Program</w:t>
            </w:r>
          </w:p>
        </w:tc>
        <w:tc>
          <w:tcPr>
            <w:tcW w:w="1320" w:type="dxa"/>
            <w:vAlign w:val="bottom"/>
          </w:tcPr>
          <w:p>
            <w:pPr>
              <w:jc w:val="center"/>
              <w:spacing w:after="0" w:line="109" w:lineRule="exact"/>
              <w:rPr>
                <w:sz w:val="20"/>
                <w:szCs w:val="20"/>
                <w:color w:val="auto"/>
              </w:rPr>
            </w:pPr>
            <w:r>
              <w:rPr>
                <w:rFonts w:ascii="Times New Roman" w:cs="Times New Roman" w:eastAsia="Times New Roman" w:hAnsi="Times New Roman"/>
                <w:sz w:val="10"/>
                <w:szCs w:val="10"/>
                <w:b w:val="1"/>
                <w:bCs w:val="1"/>
                <w:color w:val="auto"/>
                <w:w w:val="97"/>
              </w:rPr>
              <w:t>Purchased Under the Program</w:t>
            </w:r>
          </w:p>
        </w:tc>
        <w:tc>
          <w:tcPr>
            <w:tcW w:w="0" w:type="dxa"/>
            <w:vAlign w:val="bottom"/>
          </w:tcPr>
          <w:p>
            <w:pPr>
              <w:spacing w:after="0"/>
              <w:rPr>
                <w:sz w:val="1"/>
                <w:szCs w:val="1"/>
                <w:color w:val="auto"/>
              </w:rPr>
            </w:pPr>
          </w:p>
        </w:tc>
      </w:tr>
      <w:tr>
        <w:trPr>
          <w:trHeight w:val="136"/>
        </w:trPr>
        <w:tc>
          <w:tcPr>
            <w:tcW w:w="33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May 1, 2022 to May 30, 2022</w:t>
            </w: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803"/>
              <w:spacing w:after="0" w:line="136" w:lineRule="exact"/>
              <w:rPr>
                <w:sz w:val="20"/>
                <w:szCs w:val="20"/>
                <w:color w:val="auto"/>
              </w:rPr>
            </w:pPr>
            <w:r>
              <w:rPr>
                <w:rFonts w:ascii="Times New Roman" w:cs="Times New Roman" w:eastAsia="Times New Roman" w:hAnsi="Times New Roman"/>
                <w:sz w:val="12"/>
                <w:szCs w:val="12"/>
                <w:color w:val="auto"/>
                <w:w w:val="86"/>
              </w:rPr>
              <w:t>N/A</w:t>
            </w:r>
          </w:p>
        </w:tc>
        <w:tc>
          <w:tcPr>
            <w:tcW w:w="14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$ 75,000</w:t>
            </w:r>
          </w:p>
        </w:tc>
        <w:tc>
          <w:tcPr>
            <w:tcW w:w="0" w:type="dxa"/>
            <w:vAlign w:val="bottom"/>
          </w:tcPr>
          <w:p>
            <w:pPr>
              <w:spacing w:after="0"/>
              <w:rPr>
                <w:sz w:val="1"/>
                <w:szCs w:val="1"/>
                <w:color w:val="auto"/>
              </w:rPr>
            </w:pPr>
          </w:p>
        </w:tc>
      </w:tr>
      <w:tr>
        <w:trPr>
          <w:trHeight w:val="147"/>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May 31, 2022 to June 29,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4,131,100</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$ 9.69</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4,131,100</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$ 34,964</w:t>
            </w:r>
          </w:p>
        </w:tc>
        <w:tc>
          <w:tcPr>
            <w:tcW w:w="0" w:type="dxa"/>
            <w:vAlign w:val="bottom"/>
          </w:tcPr>
          <w:p>
            <w:pPr>
              <w:spacing w:after="0"/>
              <w:rPr>
                <w:sz w:val="1"/>
                <w:szCs w:val="1"/>
                <w:color w:val="auto"/>
              </w:rPr>
            </w:pPr>
          </w:p>
        </w:tc>
      </w:tr>
      <w:tr>
        <w:trPr>
          <w:trHeight w:val="147"/>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June 30, 2022 to July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1,216,900</w:t>
            </w:r>
          </w:p>
        </w:tc>
        <w:tc>
          <w:tcPr>
            <w:tcW w:w="16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$ 9.88</w:t>
            </w:r>
          </w:p>
        </w:tc>
        <w:tc>
          <w:tcPr>
            <w:tcW w:w="14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1,216,900</w:t>
            </w:r>
          </w:p>
        </w:tc>
        <w:tc>
          <w:tcPr>
            <w:tcW w:w="1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$ 22,943</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Total</w:t>
            </w:r>
          </w:p>
        </w:tc>
        <w:tc>
          <w:tcPr>
            <w:tcW w:w="12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5,348,000</w:t>
            </w: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$ 9.73</w:t>
            </w:r>
          </w:p>
        </w:tc>
        <w:tc>
          <w:tcPr>
            <w:tcW w:w="14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5,348,000</w:t>
            </w: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$ 22,943</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20" w:right="59"/>
        <w:spacing w:after="0" w:line="267" w:lineRule="auto"/>
        <w:rPr>
          <w:sz w:val="20"/>
          <w:szCs w:val="20"/>
          <w:color w:val="auto"/>
        </w:rPr>
      </w:pPr>
      <w:r>
        <w:rPr>
          <w:rFonts w:ascii="Times New Roman" w:cs="Times New Roman" w:eastAsia="Times New Roman" w:hAnsi="Times New Roman"/>
          <w:sz w:val="12"/>
          <w:szCs w:val="12"/>
          <w:color w:val="auto"/>
        </w:rPr>
        <w:t>On March 24, 2022 the Company announced that its Board of Directors authorized a share repurchase program (the “Repurchase Program”) to allow for the repurchase of up to $75.0 million outstanding shares of the Company’s common stock, $.01 par value per share commencing on March 31, 2022 (the “Commencement Date”). The Repurchase Program will terminate on the first anniversary of the Commencement Date. During the fiscal quarter ended July 30, 2022 the Company repurchased a total of 5,348,000 shares of its common stock for $52.1 million, utilizing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Exhibit Number</w:t>
            </w: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gridSpan w:val="4"/>
          </w:tcPr>
          <w:p>
            <w:pPr>
              <w:ind w:left="32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w w:val="96"/>
              </w:rPr>
              <w:t>31.1*</w:t>
            </w:r>
          </w:p>
        </w:tc>
        <w:tc>
          <w:tcPr>
            <w:tcW w:w="160" w:type="dxa"/>
            <w:vAlign w:val="bottom"/>
            <w:shd w:val="clear" w:color="auto" w:fill="CCEEFF"/>
          </w:tcPr>
          <w:p>
            <w:pPr>
              <w:spacing w:after="0"/>
              <w:rPr>
                <w:sz w:val="11"/>
                <w:szCs w:val="11"/>
                <w:color w:val="auto"/>
              </w:rPr>
            </w:pPr>
          </w:p>
        </w:tc>
        <w:tc>
          <w:tcPr>
            <w:tcW w:w="7620" w:type="dxa"/>
            <w:vAlign w:val="bottom"/>
            <w:gridSpan w:val="5"/>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0000EE"/>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47"/>
        </w:trPr>
        <w:tc>
          <w:tcPr>
            <w:tcW w:w="1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46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w w:val="96"/>
              </w:rPr>
              <w:t>31.2*</w:t>
            </w:r>
          </w:p>
        </w:tc>
        <w:tc>
          <w:tcPr>
            <w:tcW w:w="160" w:type="dxa"/>
            <w:vAlign w:val="bottom"/>
            <w:shd w:val="clear" w:color="auto" w:fill="CCEEFF"/>
          </w:tcPr>
          <w:p>
            <w:pPr>
              <w:spacing w:after="0"/>
              <w:rPr>
                <w:sz w:val="11"/>
                <w:szCs w:val="11"/>
                <w:color w:val="auto"/>
              </w:rPr>
            </w:pPr>
          </w:p>
        </w:tc>
        <w:tc>
          <w:tcPr>
            <w:tcW w:w="7620" w:type="dxa"/>
            <w:vAlign w:val="bottom"/>
            <w:gridSpan w:val="5"/>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0000EE"/>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147"/>
        </w:trPr>
        <w:tc>
          <w:tcPr>
            <w:tcW w:w="1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4600" w:type="dxa"/>
            <w:vAlign w:val="bottom"/>
            <w:tcBorders>
              <w:top w:val="single" w:sz="8" w:color="0000EE"/>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32.1**</w:t>
            </w:r>
          </w:p>
        </w:tc>
        <w:tc>
          <w:tcPr>
            <w:tcW w:w="160" w:type="dxa"/>
            <w:vAlign w:val="bottom"/>
            <w:tcBorders>
              <w:bottom w:val="single" w:sz="8" w:color="CCEEFF"/>
            </w:tcBorders>
            <w:shd w:val="clear" w:color="auto" w:fill="CCEEFF"/>
          </w:tcPr>
          <w:p>
            <w:pPr>
              <w:spacing w:after="0"/>
              <w:rPr>
                <w:sz w:val="10"/>
                <w:szCs w:val="10"/>
                <w:color w:val="auto"/>
              </w:rPr>
            </w:pPr>
          </w:p>
        </w:tc>
        <w:tc>
          <w:tcPr>
            <w:tcW w:w="7480" w:type="dxa"/>
            <w:vAlign w:val="bottom"/>
            <w:tcBorders>
              <w:bottom w:val="single" w:sz="8" w:color="0000EE"/>
            </w:tcBorders>
            <w:gridSpan w:val="4"/>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0000EE"/>
              </w:rPr>
              <w:t>Certification of Chief Executive Officer and Chief Financial Officer pursuant to 18 U.S.C. 1350, as created by Section 906 of the Sarbanes-Oxley Act of</w:t>
            </w: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80" w:type="dxa"/>
            <w:vAlign w:val="bottom"/>
            <w:vMerge w:val="continue"/>
            <w:shd w:val="clear" w:color="auto" w:fill="CCEEFF"/>
          </w:tcPr>
          <w:p>
            <w:pPr>
              <w:spacing w:after="0"/>
              <w:rPr>
                <w:sz w:val="6"/>
                <w:szCs w:val="6"/>
                <w:color w:val="auto"/>
              </w:rPr>
            </w:pPr>
          </w:p>
        </w:tc>
        <w:tc>
          <w:tcPr>
            <w:tcW w:w="5040" w:type="dxa"/>
            <w:vAlign w:val="bottom"/>
            <w:gridSpan w:val="3"/>
            <w:vMerge w:val="restart"/>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0000EE"/>
              </w:rPr>
              <w:t>2002.</w:t>
            </w:r>
          </w:p>
        </w:tc>
        <w:tc>
          <w:tcPr>
            <w:tcW w:w="4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180" w:type="dxa"/>
            <w:vAlign w:val="bottom"/>
            <w:shd w:val="clear" w:color="auto" w:fill="CCEEFF"/>
          </w:tcPr>
          <w:p>
            <w:pPr>
              <w:spacing w:after="0"/>
              <w:rPr>
                <w:sz w:val="4"/>
                <w:szCs w:val="4"/>
                <w:color w:val="auto"/>
              </w:rPr>
            </w:pPr>
          </w:p>
        </w:tc>
        <w:tc>
          <w:tcPr>
            <w:tcW w:w="5040" w:type="dxa"/>
            <w:vAlign w:val="bottom"/>
            <w:gridSpan w:val="3"/>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5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101.INS*</w:t>
            </w:r>
          </w:p>
        </w:tc>
        <w:tc>
          <w:tcPr>
            <w:tcW w:w="160" w:type="dxa"/>
            <w:vAlign w:val="bottom"/>
            <w:shd w:val="clear" w:color="auto" w:fill="CCEEFF"/>
          </w:tcPr>
          <w:p>
            <w:pPr>
              <w:spacing w:after="0"/>
              <w:rPr>
                <w:sz w:val="11"/>
                <w:szCs w:val="11"/>
                <w:color w:val="auto"/>
              </w:rPr>
            </w:pPr>
          </w:p>
        </w:tc>
        <w:tc>
          <w:tcPr>
            <w:tcW w:w="7620" w:type="dxa"/>
            <w:vAlign w:val="bottom"/>
            <w:gridSpan w:val="5"/>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86"/>
        </w:trPr>
        <w:tc>
          <w:tcPr>
            <w:tcW w:w="11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2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Inline XBRL document.</w:t>
            </w:r>
          </w:p>
        </w:tc>
        <w:tc>
          <w:tcPr>
            <w:tcW w:w="0" w:type="dxa"/>
            <w:vAlign w:val="bottom"/>
          </w:tcPr>
          <w:p>
            <w:pPr>
              <w:spacing w:after="0"/>
              <w:rPr>
                <w:sz w:val="1"/>
                <w:szCs w:val="1"/>
                <w:color w:val="auto"/>
              </w:rPr>
            </w:pPr>
          </w:p>
        </w:tc>
      </w:tr>
      <w:tr>
        <w:trPr>
          <w:trHeight w:val="74"/>
        </w:trPr>
        <w:tc>
          <w:tcPr>
            <w:tcW w:w="1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20" w:type="dxa"/>
            <w:vAlign w:val="bottom"/>
            <w:gridSpan w:val="5"/>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101.SCH*</w:t>
            </w:r>
          </w:p>
        </w:tc>
        <w:tc>
          <w:tcPr>
            <w:tcW w:w="160" w:type="dxa"/>
            <w:vAlign w:val="bottom"/>
            <w:shd w:val="clear" w:color="auto" w:fill="CCEEFF"/>
          </w:tcPr>
          <w:p>
            <w:pPr>
              <w:spacing w:after="0"/>
              <w:rPr>
                <w:sz w:val="12"/>
                <w:szCs w:val="12"/>
                <w:color w:val="auto"/>
              </w:rPr>
            </w:pPr>
          </w:p>
        </w:tc>
        <w:tc>
          <w:tcPr>
            <w:tcW w:w="7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101.CAL*</w:t>
            </w:r>
          </w:p>
        </w:tc>
        <w:tc>
          <w:tcPr>
            <w:tcW w:w="160" w:type="dxa"/>
            <w:vAlign w:val="bottom"/>
            <w:shd w:val="clear" w:color="auto" w:fill="CCEEFF"/>
          </w:tcPr>
          <w:p>
            <w:pPr>
              <w:spacing w:after="0"/>
              <w:rPr>
                <w:sz w:val="12"/>
                <w:szCs w:val="12"/>
                <w:color w:val="auto"/>
              </w:rPr>
            </w:pPr>
          </w:p>
        </w:tc>
        <w:tc>
          <w:tcPr>
            <w:tcW w:w="7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101.DEF*</w:t>
            </w:r>
          </w:p>
        </w:tc>
        <w:tc>
          <w:tcPr>
            <w:tcW w:w="160" w:type="dxa"/>
            <w:vAlign w:val="bottom"/>
            <w:shd w:val="clear" w:color="auto" w:fill="CCEEFF"/>
          </w:tcPr>
          <w:p>
            <w:pPr>
              <w:spacing w:after="0"/>
              <w:rPr>
                <w:sz w:val="12"/>
                <w:szCs w:val="12"/>
                <w:color w:val="auto"/>
              </w:rPr>
            </w:pPr>
          </w:p>
        </w:tc>
        <w:tc>
          <w:tcPr>
            <w:tcW w:w="7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101.LAB*</w:t>
            </w:r>
          </w:p>
        </w:tc>
        <w:tc>
          <w:tcPr>
            <w:tcW w:w="160" w:type="dxa"/>
            <w:vAlign w:val="bottom"/>
            <w:shd w:val="clear" w:color="auto" w:fill="CCEEFF"/>
          </w:tcPr>
          <w:p>
            <w:pPr>
              <w:spacing w:after="0"/>
              <w:rPr>
                <w:sz w:val="12"/>
                <w:szCs w:val="12"/>
                <w:color w:val="auto"/>
              </w:rPr>
            </w:pPr>
          </w:p>
        </w:tc>
        <w:tc>
          <w:tcPr>
            <w:tcW w:w="7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101.PRE*</w:t>
            </w:r>
          </w:p>
        </w:tc>
        <w:tc>
          <w:tcPr>
            <w:tcW w:w="160" w:type="dxa"/>
            <w:vAlign w:val="bottom"/>
            <w:shd w:val="clear" w:color="auto" w:fill="CCEEFF"/>
          </w:tcPr>
          <w:p>
            <w:pPr>
              <w:spacing w:after="0"/>
              <w:rPr>
                <w:sz w:val="12"/>
                <w:szCs w:val="12"/>
                <w:color w:val="auto"/>
              </w:rPr>
            </w:pPr>
          </w:p>
        </w:tc>
        <w:tc>
          <w:tcPr>
            <w:tcW w:w="7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360" w:hanging="844"/>
        <w:spacing w:after="0"/>
        <w:tabs>
          <w:tab w:leader="none" w:pos="136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contained in Exhibit 101)</w:t>
      </w:r>
    </w:p>
    <w:p>
      <w:pPr>
        <w:spacing w:after="0" w:line="163" w:lineRule="exact"/>
        <w:rPr>
          <w:rFonts w:ascii="Times New Roman" w:cs="Times New Roman" w:eastAsia="Times New Roman" w:hAnsi="Times New Roman"/>
          <w:sz w:val="12"/>
          <w:szCs w:val="12"/>
          <w:color w:val="auto"/>
        </w:rPr>
      </w:pPr>
    </w:p>
    <w:p>
      <w:pPr>
        <w:ind w:left="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Filed herewith.</w:t>
      </w:r>
    </w:p>
    <w:p>
      <w:pPr>
        <w:spacing w:after="0" w:line="20" w:lineRule="exact"/>
        <w:rPr>
          <w:rFonts w:ascii="Times New Roman" w:cs="Times New Roman" w:eastAsia="Times New Roman" w:hAnsi="Times New Roman"/>
          <w:sz w:val="12"/>
          <w:szCs w:val="12"/>
          <w:color w:val="auto"/>
        </w:rPr>
      </w:pPr>
    </w:p>
    <w:p>
      <w:pPr>
        <w:ind w:left="280" w:hanging="257"/>
        <w:spacing w:after="0"/>
        <w:tabs>
          <w:tab w:leader="none" w:pos="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-385445</wp:posOffset>
            </wp:positionV>
            <wp:extent cx="5688330" cy="99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8330" cy="9906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-240030</wp:posOffset>
            </wp:positionV>
            <wp:extent cx="14236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670" cy="11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8" w:lineRule="exact"/>
        <w:rPr>
          <w:sz w:val="20"/>
          <w:szCs w:val="20"/>
          <w:color w:val="auto"/>
        </w:rPr>
      </w:pPr>
    </w:p>
    <w:p>
      <w:pPr>
        <w:ind w:left="20" w:right="299" w:firstLine="300"/>
        <w:spacing w:after="0" w:line="292"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SPORTSMAN’S WAREHOUSE HOLDINGS, INC.</w:t>
      </w:r>
    </w:p>
    <w:p>
      <w:pPr>
        <w:spacing w:after="0" w:line="158" w:lineRule="exact"/>
        <w:rPr>
          <w:sz w:val="20"/>
          <w:szCs w:val="20"/>
          <w:color w:val="auto"/>
        </w:rPr>
      </w:pPr>
    </w:p>
    <w:p>
      <w:pPr>
        <w:ind w:left="20"/>
        <w:spacing w:after="0"/>
        <w:tabs>
          <w:tab w:leader="none" w:pos="4500" w:val="left"/>
          <w:tab w:leader="none" w:pos="6480" w:val="left"/>
          <w:tab w:leader="none" w:pos="6720" w:val="left"/>
        </w:tabs>
        <w:rPr>
          <w:sz w:val="20"/>
          <w:szCs w:val="20"/>
          <w:color w:val="auto"/>
        </w:rPr>
      </w:pPr>
      <w:r>
        <w:rPr>
          <w:rFonts w:ascii="Times New Roman" w:cs="Times New Roman" w:eastAsia="Times New Roman" w:hAnsi="Times New Roman"/>
          <w:sz w:val="12"/>
          <w:szCs w:val="12"/>
          <w:color w:val="auto"/>
        </w:rPr>
        <w:t>Date: September 2,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w:t>
      </w:r>
      <w:r>
        <w:rPr>
          <w:sz w:val="20"/>
          <w:szCs w:val="20"/>
          <w:color w:val="auto"/>
        </w:rPr>
        <w:tab/>
      </w:r>
      <w:r>
        <w:rPr>
          <w:rFonts w:ascii="Times New Roman" w:cs="Times New Roman" w:eastAsia="Times New Roman" w:hAnsi="Times New Roman"/>
          <w:sz w:val="11"/>
          <w:szCs w:val="11"/>
          <w:color w:val="auto"/>
        </w:rPr>
        <w:t>Jon Barker</w:t>
      </w:r>
    </w:p>
    <w:p>
      <w:pPr>
        <w:spacing w:after="0" w:line="21"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2"/>
          <w:szCs w:val="12"/>
          <w:b w:val="1"/>
          <w:bCs w:val="1"/>
          <w:color w:val="auto"/>
        </w:rPr>
        <w:t>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-86360</wp:posOffset>
            </wp:positionV>
            <wp:extent cx="26606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0650" cy="5715"/>
                    </a:xfrm>
                    <a:prstGeom prst="rect">
                      <a:avLst/>
                    </a:prstGeom>
                    <a:noFill/>
                  </pic:spPr>
                </pic:pic>
              </a:graphicData>
            </a:graphic>
          </wp:anchor>
        </w:drawing>
      </w:r>
    </w:p>
    <w:p>
      <w:pPr>
        <w:jc w:val="center"/>
        <w:ind w:left="4740"/>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p>
      <w:pPr>
        <w:spacing w:after="0" w:line="9"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144" w:lineRule="exact"/>
        <w:rPr>
          <w:sz w:val="20"/>
          <w:szCs w:val="20"/>
          <w:color w:val="auto"/>
        </w:rPr>
      </w:pPr>
    </w:p>
    <w:p>
      <w:pPr>
        <w:ind w:left="20"/>
        <w:spacing w:after="0"/>
        <w:tabs>
          <w:tab w:leader="none" w:pos="4500" w:val="left"/>
          <w:tab w:leader="none" w:pos="6480" w:val="left"/>
          <w:tab w:leader="none" w:pos="6720" w:val="left"/>
        </w:tabs>
        <w:rPr>
          <w:sz w:val="20"/>
          <w:szCs w:val="20"/>
          <w:color w:val="auto"/>
        </w:rPr>
      </w:pPr>
      <w:r>
        <w:rPr>
          <w:rFonts w:ascii="Times New Roman" w:cs="Times New Roman" w:eastAsia="Times New Roman" w:hAnsi="Times New Roman"/>
          <w:sz w:val="12"/>
          <w:szCs w:val="12"/>
          <w:color w:val="auto"/>
        </w:rPr>
        <w:t>Date: September 2,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w:t>
        <w:tab/>
        <w:t>Jeff White</w:t>
      </w:r>
    </w:p>
    <w:p>
      <w:pPr>
        <w:spacing w:after="0" w:line="21"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2"/>
          <w:szCs w:val="12"/>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-86360</wp:posOffset>
            </wp:positionV>
            <wp:extent cx="266065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0650" cy="5715"/>
                    </a:xfrm>
                    <a:prstGeom prst="rect">
                      <a:avLst/>
                    </a:prstGeom>
                    <a:noFill/>
                  </pic:spPr>
                </pic:pic>
              </a:graphicData>
            </a:graphic>
          </wp:anchor>
        </w:drawing>
      </w:r>
    </w:p>
    <w:p>
      <w:pPr>
        <w:jc w:val="center"/>
        <w:ind w:left="474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9"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2"/>
          <w:szCs w:val="12"/>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247015</wp:posOffset>
            </wp:positionV>
            <wp:extent cx="5694045" cy="17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33" w:name="page34"/>
    <w:bookmarkEnd w:id="33"/>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 Jon Barker, certify that:</w:t>
      </w:r>
    </w:p>
    <w:p>
      <w:pPr>
        <w:spacing w:after="0" w:line="73" w:lineRule="exact"/>
        <w:rPr>
          <w:sz w:val="20"/>
          <w:szCs w:val="20"/>
          <w:color w:val="auto"/>
        </w:rPr>
      </w:pPr>
    </w:p>
    <w:p>
      <w:pPr>
        <w:ind w:left="620" w:hanging="303"/>
        <w:spacing w:after="0"/>
        <w:tabs>
          <w:tab w:leader="none" w:pos="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Sportsman’s Warehouse Holdings, Inc.;</w:t>
      </w:r>
    </w:p>
    <w:p>
      <w:pPr>
        <w:spacing w:after="0" w:line="82" w:lineRule="exact"/>
        <w:rPr>
          <w:rFonts w:ascii="Times New Roman" w:cs="Times New Roman" w:eastAsia="Times New Roman" w:hAnsi="Times New Roman"/>
          <w:sz w:val="12"/>
          <w:szCs w:val="12"/>
          <w:color w:val="auto"/>
        </w:rPr>
      </w:pPr>
    </w:p>
    <w:p>
      <w:pPr>
        <w:ind w:left="620" w:right="279" w:hanging="303"/>
        <w:spacing w:after="0" w:line="292" w:lineRule="auto"/>
        <w:tabs>
          <w:tab w:leader="none" w:pos="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2"/>
          <w:szCs w:val="12"/>
          <w:color w:val="auto"/>
        </w:rPr>
      </w:pPr>
    </w:p>
    <w:p>
      <w:pPr>
        <w:ind w:left="620" w:right="279" w:hanging="303"/>
        <w:spacing w:after="0" w:line="292" w:lineRule="auto"/>
        <w:tabs>
          <w:tab w:leader="none" w:pos="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2"/>
          <w:szCs w:val="12"/>
          <w:color w:val="auto"/>
        </w:rPr>
      </w:pPr>
    </w:p>
    <w:p>
      <w:pPr>
        <w:ind w:left="620" w:right="139" w:hanging="303"/>
        <w:spacing w:after="0" w:line="292" w:lineRule="auto"/>
        <w:tabs>
          <w:tab w:leader="none" w:pos="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Times New Roman" w:cs="Times New Roman" w:eastAsia="Times New Roman" w:hAnsi="Times New Roman"/>
          <w:sz w:val="12"/>
          <w:szCs w:val="12"/>
          <w:color w:val="auto"/>
        </w:rPr>
      </w:pPr>
    </w:p>
    <w:p>
      <w:pPr>
        <w:jc w:val="both"/>
        <w:ind w:left="920" w:right="159" w:hanging="300"/>
        <w:spacing w:after="0" w:line="274" w:lineRule="auto"/>
        <w:tabs>
          <w:tab w:leader="none" w:pos="92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2"/>
          <w:szCs w:val="12"/>
          <w:color w:val="auto"/>
        </w:rPr>
      </w:pPr>
    </w:p>
    <w:p>
      <w:pPr>
        <w:ind w:left="920" w:right="199" w:hanging="300"/>
        <w:spacing w:after="0" w:line="274" w:lineRule="auto"/>
        <w:tabs>
          <w:tab w:leader="none" w:pos="92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2"/>
          <w:szCs w:val="12"/>
          <w:color w:val="auto"/>
        </w:rPr>
      </w:pPr>
    </w:p>
    <w:p>
      <w:pPr>
        <w:ind w:left="920" w:right="519" w:hanging="300"/>
        <w:spacing w:after="0" w:line="292" w:lineRule="auto"/>
        <w:tabs>
          <w:tab w:leader="none" w:pos="92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2"/>
          <w:szCs w:val="12"/>
          <w:color w:val="auto"/>
        </w:rPr>
      </w:pPr>
    </w:p>
    <w:p>
      <w:pPr>
        <w:ind w:left="920" w:right="259" w:hanging="300"/>
        <w:spacing w:after="0" w:line="274" w:lineRule="auto"/>
        <w:tabs>
          <w:tab w:leader="none" w:pos="92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2"/>
          <w:szCs w:val="12"/>
          <w:color w:val="auto"/>
        </w:rPr>
      </w:pPr>
    </w:p>
    <w:p>
      <w:pPr>
        <w:ind w:left="620" w:right="199" w:hanging="303"/>
        <w:spacing w:after="0" w:line="292" w:lineRule="auto"/>
        <w:tabs>
          <w:tab w:leader="none" w:pos="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2"/>
          <w:szCs w:val="12"/>
          <w:color w:val="auto"/>
        </w:rPr>
      </w:pPr>
    </w:p>
    <w:p>
      <w:pPr>
        <w:ind w:left="920" w:right="159" w:hanging="300"/>
        <w:spacing w:after="0" w:line="292" w:lineRule="auto"/>
        <w:tabs>
          <w:tab w:leader="none" w:pos="92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2"/>
          <w:szCs w:val="12"/>
          <w:color w:val="auto"/>
        </w:rPr>
      </w:pPr>
    </w:p>
    <w:p>
      <w:pPr>
        <w:ind w:left="920" w:right="359" w:hanging="300"/>
        <w:spacing w:after="0" w:line="292" w:lineRule="auto"/>
        <w:tabs>
          <w:tab w:leader="none" w:pos="92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September 2, 2022</w:t>
      </w:r>
    </w:p>
    <w:p>
      <w:pPr>
        <w:spacing w:after="0" w:line="202" w:lineRule="exact"/>
        <w:rPr>
          <w:sz w:val="20"/>
          <w:szCs w:val="20"/>
          <w:color w:val="auto"/>
        </w:rPr>
      </w:pPr>
    </w:p>
    <w:p>
      <w:pPr>
        <w:jc w:val="center"/>
        <w:ind w:right="4199"/>
        <w:spacing w:after="0"/>
        <w:rPr>
          <w:sz w:val="20"/>
          <w:szCs w:val="20"/>
          <w:color w:val="auto"/>
        </w:rPr>
      </w:pPr>
      <w:r>
        <w:rPr>
          <w:rFonts w:ascii="Times New Roman" w:cs="Times New Roman" w:eastAsia="Times New Roman" w:hAnsi="Times New Roman"/>
          <w:sz w:val="12"/>
          <w:szCs w:val="12"/>
          <w:color w:val="auto"/>
        </w:rPr>
        <w:t>/s/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13970</wp:posOffset>
            </wp:positionV>
            <wp:extent cx="303403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34030" cy="5715"/>
                    </a:xfrm>
                    <a:prstGeom prst="rect">
                      <a:avLst/>
                    </a:prstGeom>
                    <a:noFill/>
                  </pic:spPr>
                </pic:pic>
              </a:graphicData>
            </a:graphic>
          </wp:anchor>
        </w:drawing>
      </w:r>
    </w:p>
    <w:p>
      <w:pPr>
        <w:spacing w:after="0" w:line="13" w:lineRule="exact"/>
        <w:rPr>
          <w:sz w:val="20"/>
          <w:szCs w:val="20"/>
          <w:color w:val="auto"/>
        </w:rPr>
      </w:pPr>
    </w:p>
    <w:p>
      <w:pPr>
        <w:jc w:val="center"/>
        <w:ind w:right="4199"/>
        <w:spacing w:after="0"/>
        <w:rPr>
          <w:sz w:val="20"/>
          <w:szCs w:val="20"/>
          <w:color w:val="auto"/>
        </w:rPr>
      </w:pPr>
      <w:r>
        <w:rPr>
          <w:rFonts w:ascii="Times New Roman" w:cs="Times New Roman" w:eastAsia="Times New Roman" w:hAnsi="Times New Roman"/>
          <w:sz w:val="10"/>
          <w:szCs w:val="10"/>
          <w:b w:val="1"/>
          <w:bCs w:val="1"/>
          <w:color w:val="auto"/>
        </w:rPr>
        <w:t>Jon Barker</w:t>
      </w:r>
    </w:p>
    <w:p>
      <w:pPr>
        <w:spacing w:after="0" w:line="32" w:lineRule="exact"/>
        <w:rPr>
          <w:sz w:val="20"/>
          <w:szCs w:val="20"/>
          <w:color w:val="auto"/>
        </w:rPr>
      </w:pPr>
    </w:p>
    <w:p>
      <w:pPr>
        <w:jc w:val="center"/>
        <w:ind w:right="4199"/>
        <w:spacing w:after="0"/>
        <w:rPr>
          <w:sz w:val="20"/>
          <w:szCs w:val="20"/>
          <w:color w:val="auto"/>
        </w:rPr>
      </w:pPr>
      <w:r>
        <w:rPr>
          <w:rFonts w:ascii="Times New Roman" w:cs="Times New Roman" w:eastAsia="Times New Roman" w:hAnsi="Times New Roman"/>
          <w:sz w:val="10"/>
          <w:szCs w:val="10"/>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340360</wp:posOffset>
            </wp:positionV>
            <wp:extent cx="5694045" cy="17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 Jeff White, certify that:</w:t>
      </w:r>
    </w:p>
    <w:p>
      <w:pPr>
        <w:spacing w:after="0" w:line="73" w:lineRule="exact"/>
        <w:rPr>
          <w:sz w:val="20"/>
          <w:szCs w:val="20"/>
          <w:color w:val="auto"/>
        </w:rPr>
      </w:pPr>
    </w:p>
    <w:p>
      <w:pPr>
        <w:ind w:left="620" w:hanging="303"/>
        <w:spacing w:after="0"/>
        <w:tabs>
          <w:tab w:leader="none" w:pos="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Sportsman’s Warehouse Holdings, Inc.;</w:t>
      </w:r>
    </w:p>
    <w:p>
      <w:pPr>
        <w:spacing w:after="0" w:line="82" w:lineRule="exact"/>
        <w:rPr>
          <w:rFonts w:ascii="Times New Roman" w:cs="Times New Roman" w:eastAsia="Times New Roman" w:hAnsi="Times New Roman"/>
          <w:sz w:val="12"/>
          <w:szCs w:val="12"/>
          <w:color w:val="auto"/>
        </w:rPr>
      </w:pPr>
    </w:p>
    <w:p>
      <w:pPr>
        <w:ind w:left="620" w:right="279" w:hanging="303"/>
        <w:spacing w:after="0" w:line="292" w:lineRule="auto"/>
        <w:tabs>
          <w:tab w:leader="none" w:pos="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2"/>
          <w:szCs w:val="12"/>
          <w:color w:val="auto"/>
        </w:rPr>
      </w:pPr>
    </w:p>
    <w:p>
      <w:pPr>
        <w:ind w:left="620" w:right="279" w:hanging="303"/>
        <w:spacing w:after="0" w:line="292" w:lineRule="auto"/>
        <w:tabs>
          <w:tab w:leader="none" w:pos="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2"/>
          <w:szCs w:val="12"/>
          <w:color w:val="auto"/>
        </w:rPr>
      </w:pPr>
    </w:p>
    <w:p>
      <w:pPr>
        <w:ind w:left="620" w:right="139" w:hanging="303"/>
        <w:spacing w:after="0" w:line="292" w:lineRule="auto"/>
        <w:tabs>
          <w:tab w:leader="none" w:pos="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Times New Roman" w:cs="Times New Roman" w:eastAsia="Times New Roman" w:hAnsi="Times New Roman"/>
          <w:sz w:val="12"/>
          <w:szCs w:val="12"/>
          <w:color w:val="auto"/>
        </w:rPr>
      </w:pPr>
    </w:p>
    <w:p>
      <w:pPr>
        <w:jc w:val="both"/>
        <w:ind w:left="920" w:right="159" w:hanging="300"/>
        <w:spacing w:after="0" w:line="274" w:lineRule="auto"/>
        <w:tabs>
          <w:tab w:leader="none" w:pos="9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2"/>
          <w:szCs w:val="12"/>
          <w:color w:val="auto"/>
        </w:rPr>
      </w:pPr>
    </w:p>
    <w:p>
      <w:pPr>
        <w:ind w:left="920" w:right="199" w:hanging="300"/>
        <w:spacing w:after="0" w:line="274" w:lineRule="auto"/>
        <w:tabs>
          <w:tab w:leader="none" w:pos="9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2"/>
          <w:szCs w:val="12"/>
          <w:color w:val="auto"/>
        </w:rPr>
      </w:pPr>
    </w:p>
    <w:p>
      <w:pPr>
        <w:ind w:left="920" w:right="519" w:hanging="300"/>
        <w:spacing w:after="0" w:line="292" w:lineRule="auto"/>
        <w:tabs>
          <w:tab w:leader="none" w:pos="9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2"/>
          <w:szCs w:val="12"/>
          <w:color w:val="auto"/>
        </w:rPr>
      </w:pPr>
    </w:p>
    <w:p>
      <w:pPr>
        <w:ind w:left="920" w:right="259" w:hanging="300"/>
        <w:spacing w:after="0" w:line="274" w:lineRule="auto"/>
        <w:tabs>
          <w:tab w:leader="none" w:pos="9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2"/>
          <w:szCs w:val="12"/>
          <w:color w:val="auto"/>
        </w:rPr>
      </w:pPr>
    </w:p>
    <w:p>
      <w:pPr>
        <w:ind w:left="620" w:right="199" w:hanging="303"/>
        <w:spacing w:after="0" w:line="292" w:lineRule="auto"/>
        <w:tabs>
          <w:tab w:leader="none" w:pos="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2"/>
          <w:szCs w:val="12"/>
          <w:color w:val="auto"/>
        </w:rPr>
      </w:pPr>
    </w:p>
    <w:p>
      <w:pPr>
        <w:ind w:left="920" w:right="159" w:hanging="300"/>
        <w:spacing w:after="0" w:line="292" w:lineRule="auto"/>
        <w:tabs>
          <w:tab w:leader="none" w:pos="9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2"/>
          <w:szCs w:val="12"/>
          <w:color w:val="auto"/>
        </w:rPr>
      </w:pPr>
    </w:p>
    <w:p>
      <w:pPr>
        <w:ind w:left="920" w:right="359" w:hanging="300"/>
        <w:spacing w:after="0" w:line="292" w:lineRule="auto"/>
        <w:tabs>
          <w:tab w:leader="none" w:pos="9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September 2, 2022</w:t>
      </w:r>
    </w:p>
    <w:p>
      <w:pPr>
        <w:spacing w:after="0" w:line="193"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2"/>
          <w:szCs w:val="12"/>
          <w:color w:val="auto"/>
        </w:rPr>
        <w:t>/s/ Jeff White</w:t>
      </w:r>
    </w:p>
    <w:p>
      <w:pPr>
        <w:spacing w:after="0" w:line="21"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0"/>
          <w:szCs w:val="10"/>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-71755</wp:posOffset>
            </wp:positionV>
            <wp:extent cx="28473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7340" cy="5715"/>
                    </a:xfrm>
                    <a:prstGeom prst="rect">
                      <a:avLst/>
                    </a:prstGeom>
                    <a:noFill/>
                  </pic:spPr>
                </pic:pic>
              </a:graphicData>
            </a:graphic>
          </wp:anchor>
        </w:drawing>
      </w:r>
    </w:p>
    <w:p>
      <w:pPr>
        <w:jc w:val="center"/>
        <w:ind w:right="4499"/>
        <w:spacing w:after="0"/>
        <w:rPr>
          <w:sz w:val="20"/>
          <w:szCs w:val="20"/>
          <w:color w:val="auto"/>
        </w:rPr>
      </w:pPr>
      <w:r>
        <w:rPr>
          <w:rFonts w:ascii="Times New Roman" w:cs="Times New Roman" w:eastAsia="Times New Roman" w:hAnsi="Times New Roman"/>
          <w:sz w:val="10"/>
          <w:szCs w:val="10"/>
          <w:i w:val="1"/>
          <w:iCs w:val="1"/>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335280</wp:posOffset>
            </wp:positionV>
            <wp:extent cx="5694045" cy="17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Adopted pursuant to Section 906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135" w:lineRule="exact"/>
        <w:rPr>
          <w:sz w:val="20"/>
          <w:szCs w:val="20"/>
          <w:color w:val="auto"/>
        </w:rPr>
      </w:pPr>
    </w:p>
    <w:p>
      <w:pPr>
        <w:ind w:left="20" w:right="139" w:firstLine="300"/>
        <w:spacing w:after="0" w:line="274" w:lineRule="auto"/>
        <w:rPr>
          <w:sz w:val="20"/>
          <w:szCs w:val="20"/>
          <w:color w:val="auto"/>
        </w:rPr>
      </w:pPr>
      <w:r>
        <w:rPr>
          <w:rFonts w:ascii="Times New Roman" w:cs="Times New Roman" w:eastAsia="Times New Roman" w:hAnsi="Times New Roman"/>
          <w:sz w:val="12"/>
          <w:szCs w:val="12"/>
          <w:color w:val="auto"/>
        </w:rPr>
        <w:t>In connection with the Quarterly Report on Form 10-Q of Sportsman’s Warehouse Holdings, Inc. (the “Registrant”) for the fiscal quarter ended July 30, 2022, as filed with the Securities and Exchange Commission on the date hereof (the “Report”), Jon Barker, as President and Chief Executive Officer of the Registrant, and Jeff White, the Chief Financial Officer, hereby certify, pursuant to 18 U.S.C. § 1350, as adopted pursuant to § 906 of the Sarbanes-Oxley Act of 2002, that, to the best of their knowledge:</w:t>
      </w:r>
    </w:p>
    <w:p>
      <w:pPr>
        <w:spacing w:after="0" w:line="42" w:lineRule="exact"/>
        <w:rPr>
          <w:sz w:val="20"/>
          <w:szCs w:val="20"/>
          <w:color w:val="auto"/>
        </w:rPr>
      </w:pPr>
    </w:p>
    <w:p>
      <w:pPr>
        <w:ind w:left="620" w:hanging="303"/>
        <w:spacing w:after="0"/>
        <w:tabs>
          <w:tab w:leader="none" w:pos="6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2"/>
          <w:szCs w:val="12"/>
          <w:color w:val="auto"/>
        </w:rPr>
      </w:pPr>
    </w:p>
    <w:p>
      <w:pPr>
        <w:ind w:left="620" w:hanging="303"/>
        <w:spacing w:after="0"/>
        <w:tabs>
          <w:tab w:leader="none" w:pos="6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Registrant.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September 2, 2022</w:t>
      </w:r>
    </w:p>
    <w:p>
      <w:pPr>
        <w:spacing w:after="0" w:line="193"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2"/>
          <w:szCs w:val="12"/>
          <w:color w:val="auto"/>
        </w:rPr>
        <w:t>/s/ Jon Barker</w:t>
      </w:r>
    </w:p>
    <w:p>
      <w:pPr>
        <w:spacing w:after="0" w:line="21"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0"/>
          <w:szCs w:val="10"/>
          <w:b w:val="1"/>
          <w:bCs w:val="1"/>
          <w:color w:val="auto"/>
        </w:rPr>
        <w:t>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-71755</wp:posOffset>
            </wp:positionV>
            <wp:extent cx="28473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7340" cy="5715"/>
                    </a:xfrm>
                    <a:prstGeom prst="rect">
                      <a:avLst/>
                    </a:prstGeom>
                    <a:noFill/>
                  </pic:spPr>
                </pic:pic>
              </a:graphicData>
            </a:graphic>
          </wp:anchor>
        </w:drawing>
      </w:r>
    </w:p>
    <w:p>
      <w:pPr>
        <w:jc w:val="center"/>
        <w:ind w:right="4499"/>
        <w:spacing w:after="0"/>
        <w:rPr>
          <w:sz w:val="20"/>
          <w:szCs w:val="20"/>
          <w:color w:val="auto"/>
        </w:rPr>
      </w:pPr>
      <w:r>
        <w:rPr>
          <w:rFonts w:ascii="Times New Roman" w:cs="Times New Roman" w:eastAsia="Times New Roman" w:hAnsi="Times New Roman"/>
          <w:sz w:val="10"/>
          <w:szCs w:val="10"/>
          <w:i w:val="1"/>
          <w:iCs w:val="1"/>
          <w:color w:val="auto"/>
        </w:rPr>
        <w:t>President and Chief Executive Officer</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September 2, 2022</w:t>
      </w:r>
    </w:p>
    <w:p>
      <w:pPr>
        <w:spacing w:after="0" w:line="193"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2"/>
          <w:szCs w:val="12"/>
          <w:color w:val="auto"/>
        </w:rPr>
        <w:t>/s/ Jeff White</w:t>
      </w:r>
    </w:p>
    <w:p>
      <w:pPr>
        <w:spacing w:after="0" w:line="21"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0"/>
          <w:szCs w:val="10"/>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-71755</wp:posOffset>
            </wp:positionV>
            <wp:extent cx="28473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7340" cy="5715"/>
                    </a:xfrm>
                    <a:prstGeom prst="rect">
                      <a:avLst/>
                    </a:prstGeom>
                    <a:noFill/>
                  </pic:spPr>
                </pic:pic>
              </a:graphicData>
            </a:graphic>
          </wp:anchor>
        </w:drawing>
      </w:r>
    </w:p>
    <w:p>
      <w:pPr>
        <w:jc w:val="center"/>
        <w:ind w:right="4499"/>
        <w:spacing w:after="0"/>
        <w:rPr>
          <w:sz w:val="20"/>
          <w:szCs w:val="20"/>
          <w:color w:val="auto"/>
        </w:rPr>
      </w:pPr>
      <w:r>
        <w:rPr>
          <w:rFonts w:ascii="Times New Roman" w:cs="Times New Roman" w:eastAsia="Times New Roman" w:hAnsi="Times New Roman"/>
          <w:sz w:val="10"/>
          <w:szCs w:val="10"/>
          <w:i w:val="1"/>
          <w:iCs w:val="1"/>
          <w:color w:val="auto"/>
        </w:rPr>
        <w:t>Chief Financial Officer and Secretary</w:t>
      </w:r>
    </w:p>
    <w:p>
      <w:pPr>
        <w:spacing w:after="0" w:line="147" w:lineRule="exact"/>
        <w:rPr>
          <w:sz w:val="20"/>
          <w:szCs w:val="20"/>
          <w:color w:val="auto"/>
        </w:rPr>
      </w:pPr>
    </w:p>
    <w:p>
      <w:pPr>
        <w:ind w:left="20" w:right="59"/>
        <w:spacing w:after="0" w:line="276" w:lineRule="auto"/>
        <w:rPr>
          <w:sz w:val="20"/>
          <w:szCs w:val="20"/>
          <w:color w:val="auto"/>
        </w:rPr>
      </w:pPr>
      <w:r>
        <w:rPr>
          <w:rFonts w:ascii="Times New Roman" w:cs="Times New Roman" w:eastAsia="Times New Roman" w:hAnsi="Times New Roman"/>
          <w:sz w:val="12"/>
          <w:szCs w:val="12"/>
          <w:color w:val="auto"/>
        </w:rPr>
        <w:t>The foregoing certification is being furnished pursuant to 18 U.S.C. Section 1350. It is not being filed for purposes of Section 18 of the Securities Exchange Act of 1934, as amended, and it is not to be incorporated by reference into any filing of the Company,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220980</wp:posOffset>
            </wp:positionV>
            <wp:extent cx="5694045" cy="17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4045" cy="1778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12"/>
    </w:lvl>
    <w:lvl w:ilvl="1">
      <w:lvlJc w:val="left"/>
      <w:lvlText w:val="%2"/>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
      <w:numFmt w:val="bullet"/>
      <w:start w:val="1"/>
    </w:lvl>
    <w:lvl w:ilvl="1">
      <w:lvlJc w:val="left"/>
      <w:lvlText w:val="%2"/>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2022-09-02T07:33:32Z</dcterms:created>
  <dcterms:modified xsi:type="dcterms:W3CDTF">2022-09-02T07:33:32Z</dcterms:modified>
</cp:coreProperties>
</file>