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424(b)(5)</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333-204517</w:t>
      </w:r>
    </w:p>
    <w:p>
      <w:pPr>
        <w:spacing w:after="0" w:line="163" w:lineRule="exact"/>
        <w:rPr>
          <w:sz w:val="24"/>
          <w:szCs w:val="24"/>
          <w:color w:val="auto"/>
        </w:rPr>
      </w:pPr>
    </w:p>
    <w:p>
      <w:pPr>
        <w:ind w:right="260"/>
        <w:spacing w:after="0" w:line="237" w:lineRule="auto"/>
        <w:rPr>
          <w:sz w:val="20"/>
          <w:szCs w:val="20"/>
          <w:color w:val="auto"/>
        </w:rPr>
      </w:pPr>
      <w:r>
        <w:rPr>
          <w:rFonts w:ascii="Arial" w:cs="Arial" w:eastAsia="Arial" w:hAnsi="Arial"/>
          <w:sz w:val="18"/>
          <w:szCs w:val="18"/>
          <w:color w:val="DE1A1E"/>
        </w:rPr>
        <w:t>The information in this preliminary prospectus supplement is not complete and may be changed. A registration statement relating to these securities has been declared effective by the Securities and Exchange Commission. This preliminary prospectus supplement, together with the accompanying prospectus, is not an offer to sell these securities and is not soliciting an offer to buy these securities in any jurisdiction where the offer or sale is not permitted.</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DE1A1E"/>
        </w:rPr>
        <w:t>PRELIMINARY PROSPECTUS SUPPLEMENT TO</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DE1A1E"/>
        </w:rPr>
        <w:t>PROSPECTUS DATED JULY 14, 2015</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APRIL 12, 2016</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132715</wp:posOffset>
            </wp:positionV>
            <wp:extent cx="1680845" cy="780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0845" cy="780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SPORTSMAN’S WAREHOUSE HOLDINGS, INC.</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184150</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ind w:right="80" w:firstLine="456"/>
        <w:spacing w:after="0" w:line="239" w:lineRule="auto"/>
        <w:rPr>
          <w:sz w:val="20"/>
          <w:szCs w:val="20"/>
          <w:color w:val="auto"/>
        </w:rPr>
      </w:pPr>
      <w:r>
        <w:rPr>
          <w:rFonts w:ascii="Arial" w:cs="Arial" w:eastAsia="Arial" w:hAnsi="Arial"/>
          <w:sz w:val="18"/>
          <w:szCs w:val="18"/>
          <w:color w:val="auto"/>
        </w:rPr>
        <w:t>The selling stockholders identified in this prospectus supplement are offering 5,000,000 shares of common stock of Sportsman’s Warehouse Holdings, Inc. We will not receive any of the proceeds from the sale of the shares being sold by the selling stockholders.</w:t>
      </w:r>
    </w:p>
    <w:p>
      <w:pPr>
        <w:spacing w:after="0" w:line="155" w:lineRule="exact"/>
        <w:rPr>
          <w:sz w:val="24"/>
          <w:szCs w:val="24"/>
          <w:color w:val="auto"/>
        </w:rPr>
      </w:pPr>
    </w:p>
    <w:p>
      <w:pPr>
        <w:ind w:right="260" w:firstLine="456"/>
        <w:spacing w:after="0" w:line="239" w:lineRule="auto"/>
        <w:rPr>
          <w:sz w:val="20"/>
          <w:szCs w:val="20"/>
          <w:color w:val="auto"/>
        </w:rPr>
      </w:pPr>
      <w:r>
        <w:rPr>
          <w:rFonts w:ascii="Arial" w:cs="Arial" w:eastAsia="Arial" w:hAnsi="Arial"/>
          <w:sz w:val="18"/>
          <w:szCs w:val="18"/>
          <w:color w:val="auto"/>
        </w:rPr>
        <w:t>Our common stock is listed on The NASDAQ Global Select Market under the symbol “SPWH.” The last reported sale price of our common stock on April 11, 2016 was $12.21 per share.</w:t>
      </w:r>
    </w:p>
    <w:p>
      <w:pPr>
        <w:spacing w:after="0" w:line="155" w:lineRule="exact"/>
        <w:rPr>
          <w:sz w:val="24"/>
          <w:szCs w:val="24"/>
          <w:color w:val="auto"/>
        </w:rPr>
      </w:pPr>
    </w:p>
    <w:p>
      <w:pPr>
        <w:ind w:right="360" w:firstLine="456"/>
        <w:spacing w:after="0" w:line="239" w:lineRule="auto"/>
        <w:rPr>
          <w:sz w:val="20"/>
          <w:szCs w:val="20"/>
          <w:color w:val="auto"/>
        </w:rPr>
      </w:pPr>
      <w:r>
        <w:rPr>
          <w:rFonts w:ascii="Arial" w:cs="Arial" w:eastAsia="Arial" w:hAnsi="Arial"/>
          <w:sz w:val="18"/>
          <w:szCs w:val="18"/>
          <w:color w:val="auto"/>
        </w:rPr>
        <w:t>We are an “emerging growth company” as defined in the Jumpstart Our Business Startups Act and, as such, have elected to comply with certain reduced public company reporting requirements.</w:t>
      </w:r>
    </w:p>
    <w:p>
      <w:pPr>
        <w:spacing w:after="0" w:line="133" w:lineRule="exact"/>
        <w:rPr>
          <w:sz w:val="24"/>
          <w:szCs w:val="24"/>
          <w:color w:val="auto"/>
        </w:rPr>
      </w:pPr>
    </w:p>
    <w:p>
      <w:pPr>
        <w:ind w:right="560" w:firstLine="456"/>
        <w:spacing w:after="0" w:line="296"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common stock involves a high degree of risk. See “</w:t>
      </w:r>
      <w:hyperlink w:anchor="page18">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S-12 of this prospectus supplement and the risk factors included in the documents incorporated by reference in this prospectus supplement and the accompanying prospectus to read about certain factors you should consider before buying our common stock.</w:t>
      </w:r>
    </w:p>
    <w:p>
      <w:pPr>
        <w:spacing w:after="0" w:line="119" w:lineRule="exact"/>
        <w:rPr>
          <w:sz w:val="24"/>
          <w:szCs w:val="24"/>
          <w:color w:val="auto"/>
        </w:rPr>
      </w:pPr>
    </w:p>
    <w:tbl>
      <w:tblPr>
        <w:tblLayout w:type="fixed"/>
        <w:tblInd w:w="508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640" w:type="dxa"/>
            <w:vAlign w:val="bottom"/>
          </w:tcPr>
          <w:p>
            <w:pPr>
              <w:jc w:val="center"/>
              <w:ind w:left="172"/>
              <w:spacing w:after="0"/>
              <w:rPr>
                <w:sz w:val="20"/>
                <w:szCs w:val="20"/>
                <w:color w:val="auto"/>
              </w:rPr>
            </w:pPr>
            <w:r>
              <w:rPr>
                <w:rFonts w:ascii="Arial" w:cs="Arial" w:eastAsia="Arial" w:hAnsi="Arial"/>
                <w:sz w:val="14"/>
                <w:szCs w:val="14"/>
                <w:b w:val="1"/>
                <w:bCs w:val="1"/>
                <w:color w:val="auto"/>
                <w:w w:val="97"/>
              </w:rPr>
              <w:t>Underwriting</w:t>
            </w:r>
          </w:p>
        </w:tc>
        <w:tc>
          <w:tcPr>
            <w:tcW w:w="1920" w:type="dxa"/>
            <w:vAlign w:val="bottom"/>
          </w:tcPr>
          <w:p>
            <w:pPr>
              <w:jc w:val="center"/>
              <w:ind w:left="592"/>
              <w:spacing w:after="0"/>
              <w:rPr>
                <w:sz w:val="20"/>
                <w:szCs w:val="20"/>
                <w:color w:val="auto"/>
              </w:rPr>
            </w:pPr>
            <w:r>
              <w:rPr>
                <w:rFonts w:ascii="Arial" w:cs="Arial" w:eastAsia="Arial" w:hAnsi="Arial"/>
                <w:sz w:val="14"/>
                <w:szCs w:val="14"/>
                <w:b w:val="1"/>
                <w:bCs w:val="1"/>
                <w:color w:val="auto"/>
                <w:w w:val="96"/>
              </w:rPr>
              <w:t>Proceeds to Selling</w:t>
            </w:r>
          </w:p>
        </w:tc>
      </w:tr>
      <w:tr>
        <w:trPr>
          <w:trHeight w:val="149"/>
        </w:trPr>
        <w:tc>
          <w:tcPr>
            <w:tcW w:w="1380" w:type="dxa"/>
            <w:vAlign w:val="bottom"/>
          </w:tcPr>
          <w:p>
            <w:pPr>
              <w:jc w:val="center"/>
              <w:ind w:right="812"/>
              <w:spacing w:after="0" w:line="149" w:lineRule="exact"/>
              <w:rPr>
                <w:sz w:val="20"/>
                <w:szCs w:val="20"/>
                <w:color w:val="auto"/>
              </w:rPr>
            </w:pPr>
            <w:r>
              <w:rPr>
                <w:rFonts w:ascii="Arial" w:cs="Arial" w:eastAsia="Arial" w:hAnsi="Arial"/>
                <w:sz w:val="14"/>
                <w:szCs w:val="14"/>
                <w:b w:val="1"/>
                <w:bCs w:val="1"/>
                <w:color w:val="auto"/>
                <w:w w:val="97"/>
              </w:rPr>
              <w:t>Price to</w:t>
            </w:r>
          </w:p>
        </w:tc>
        <w:tc>
          <w:tcPr>
            <w:tcW w:w="264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97"/>
              </w:rPr>
              <w:t>Discounts and</w:t>
            </w:r>
          </w:p>
        </w:tc>
        <w:tc>
          <w:tcPr>
            <w:tcW w:w="1920" w:type="dxa"/>
            <w:vAlign w:val="bottom"/>
          </w:tcPr>
          <w:p>
            <w:pPr>
              <w:jc w:val="center"/>
              <w:ind w:left="592"/>
              <w:spacing w:after="0" w:line="149" w:lineRule="exact"/>
              <w:rPr>
                <w:sz w:val="20"/>
                <w:szCs w:val="20"/>
                <w:color w:val="auto"/>
              </w:rPr>
            </w:pPr>
            <w:r>
              <w:rPr>
                <w:rFonts w:ascii="Arial" w:cs="Arial" w:eastAsia="Arial" w:hAnsi="Arial"/>
                <w:sz w:val="14"/>
                <w:szCs w:val="14"/>
                <w:b w:val="1"/>
                <w:bCs w:val="1"/>
                <w:color w:val="auto"/>
                <w:w w:val="97"/>
              </w:rPr>
              <w:t>Stockholders,</w:t>
            </w:r>
          </w:p>
        </w:tc>
      </w:tr>
      <w:tr>
        <w:trPr>
          <w:trHeight w:val="178"/>
        </w:trPr>
        <w:tc>
          <w:tcPr>
            <w:tcW w:w="1380" w:type="dxa"/>
            <w:vAlign w:val="bottom"/>
          </w:tcPr>
          <w:p>
            <w:pPr>
              <w:jc w:val="center"/>
              <w:ind w:right="832"/>
              <w:spacing w:after="0"/>
              <w:rPr>
                <w:sz w:val="20"/>
                <w:szCs w:val="20"/>
                <w:color w:val="auto"/>
              </w:rPr>
            </w:pPr>
            <w:r>
              <w:rPr>
                <w:rFonts w:ascii="Arial" w:cs="Arial" w:eastAsia="Arial" w:hAnsi="Arial"/>
                <w:sz w:val="14"/>
                <w:szCs w:val="14"/>
                <w:b w:val="1"/>
                <w:bCs w:val="1"/>
                <w:color w:val="auto"/>
                <w:w w:val="95"/>
              </w:rPr>
              <w:t>Public</w:t>
            </w:r>
          </w:p>
        </w:tc>
        <w:tc>
          <w:tcPr>
            <w:tcW w:w="2640" w:type="dxa"/>
            <w:vAlign w:val="bottom"/>
          </w:tcPr>
          <w:p>
            <w:pPr>
              <w:jc w:val="center"/>
              <w:ind w:left="152"/>
              <w:spacing w:after="0"/>
              <w:rPr>
                <w:sz w:val="20"/>
                <w:szCs w:val="20"/>
                <w:color w:val="auto"/>
              </w:rPr>
            </w:pPr>
            <w:r>
              <w:rPr>
                <w:rFonts w:ascii="Arial" w:cs="Arial" w:eastAsia="Arial" w:hAnsi="Arial"/>
                <w:sz w:val="14"/>
                <w:szCs w:val="14"/>
                <w:b w:val="1"/>
                <w:bCs w:val="1"/>
                <w:color w:val="auto"/>
                <w:w w:val="97"/>
              </w:rPr>
              <w:t>Commissions(1)</w:t>
            </w:r>
          </w:p>
        </w:tc>
        <w:tc>
          <w:tcPr>
            <w:tcW w:w="1920" w:type="dxa"/>
            <w:vAlign w:val="bottom"/>
          </w:tcPr>
          <w:p>
            <w:pPr>
              <w:jc w:val="center"/>
              <w:ind w:left="592"/>
              <w:spacing w:after="0"/>
              <w:rPr>
                <w:sz w:val="20"/>
                <w:szCs w:val="20"/>
                <w:color w:val="auto"/>
              </w:rPr>
            </w:pPr>
            <w:r>
              <w:rPr>
                <w:rFonts w:ascii="Arial" w:cs="Arial" w:eastAsia="Arial" w:hAnsi="Arial"/>
                <w:sz w:val="14"/>
                <w:szCs w:val="14"/>
                <w:b w:val="1"/>
                <w:bCs w:val="1"/>
                <w:color w:val="auto"/>
                <w:w w:val="96"/>
              </w:rPr>
              <w:t>Before Expenses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635</wp:posOffset>
            </wp:positionV>
            <wp:extent cx="1303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tbl>
      <w:tblPr>
        <w:tblLayout w:type="fixed"/>
        <w:tblInd w:w="0" w:type="dxa"/>
        <w:tblCellMar>
          <w:top w:w="0" w:type="dxa"/>
          <w:left w:w="0" w:type="dxa"/>
          <w:bottom w:w="0" w:type="dxa"/>
          <w:right w:w="0" w:type="dxa"/>
        </w:tblCellMar>
      </w:tblPr>
      <w:tr>
        <w:trPr>
          <w:trHeight w:val="200"/>
        </w:trPr>
        <w:tc>
          <w:tcPr>
            <w:tcW w:w="4240" w:type="dxa"/>
            <w:vAlign w:val="bottom"/>
          </w:tcPr>
          <w:p>
            <w:pPr>
              <w:spacing w:after="0" w:line="200" w:lineRule="exact"/>
              <w:rPr>
                <w:sz w:val="20"/>
                <w:szCs w:val="20"/>
                <w:color w:val="auto"/>
              </w:rPr>
            </w:pPr>
            <w:r>
              <w:rPr>
                <w:rFonts w:ascii="Arial" w:cs="Arial" w:eastAsia="Arial" w:hAnsi="Arial"/>
                <w:sz w:val="18"/>
                <w:szCs w:val="18"/>
                <w:color w:val="auto"/>
              </w:rPr>
              <w:t>Per Share</w:t>
            </w:r>
          </w:p>
        </w:tc>
        <w:tc>
          <w:tcPr>
            <w:tcW w:w="2160" w:type="dxa"/>
            <w:vAlign w:val="bottom"/>
            <w:tcBorders>
              <w:top w:val="single" w:sz="8" w:color="auto"/>
            </w:tcBorders>
          </w:tcPr>
          <w:p>
            <w:pPr>
              <w:jc w:val="right"/>
              <w:ind w:right="1232"/>
              <w:spacing w:after="0" w:line="200" w:lineRule="exact"/>
              <w:rPr>
                <w:sz w:val="20"/>
                <w:szCs w:val="20"/>
                <w:color w:val="auto"/>
              </w:rPr>
            </w:pPr>
            <w:r>
              <w:rPr>
                <w:rFonts w:ascii="Arial" w:cs="Arial" w:eastAsia="Arial" w:hAnsi="Arial"/>
                <w:sz w:val="18"/>
                <w:szCs w:val="18"/>
                <w:color w:val="auto"/>
              </w:rPr>
              <w:t>$</w:t>
            </w:r>
          </w:p>
        </w:tc>
      </w:tr>
      <w:tr>
        <w:trPr>
          <w:trHeight w:val="211"/>
        </w:trPr>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2160" w:type="dxa"/>
            <w:vAlign w:val="bottom"/>
          </w:tcPr>
          <w:p>
            <w:pPr>
              <w:jc w:val="right"/>
              <w:ind w:right="1232"/>
              <w:spacing w:after="0"/>
              <w:rPr>
                <w:sz w:val="20"/>
                <w:szCs w:val="20"/>
                <w:color w:val="auto"/>
              </w:rPr>
            </w:pPr>
            <w:r>
              <w:rPr>
                <w:rFonts w:ascii="Arial" w:cs="Arial" w:eastAsia="Arial" w:hAnsi="Arial"/>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1886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(1) See “Underwriting” for a description of the compensation payable to the underwriters.</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800" w:type="dxa"/>
            <w:vAlign w:val="bottom"/>
          </w:tcPr>
          <w:p>
            <w:pPr>
              <w:jc w:val="right"/>
              <w:ind w:right="1612"/>
              <w:spacing w:after="0" w:line="200" w:lineRule="exact"/>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tcPr>
          <w:p>
            <w:pPr>
              <w:jc w:val="right"/>
              <w:ind w:right="1192"/>
              <w:spacing w:after="0" w:line="200" w:lineRule="exact"/>
              <w:rPr>
                <w:sz w:val="20"/>
                <w:szCs w:val="20"/>
                <w:color w:val="auto"/>
              </w:rPr>
            </w:pPr>
            <w:r>
              <w:rPr>
                <w:rFonts w:ascii="Arial" w:cs="Arial" w:eastAsia="Arial" w:hAnsi="Arial"/>
                <w:sz w:val="18"/>
                <w:szCs w:val="18"/>
                <w:color w:val="auto"/>
              </w:rPr>
              <w:t>$</w:t>
            </w:r>
          </w:p>
        </w:tc>
      </w:tr>
      <w:tr>
        <w:trPr>
          <w:trHeight w:val="211"/>
        </w:trPr>
        <w:tc>
          <w:tcPr>
            <w:tcW w:w="1800" w:type="dxa"/>
            <w:vAlign w:val="bottom"/>
          </w:tcPr>
          <w:p>
            <w:pPr>
              <w:jc w:val="right"/>
              <w:ind w:right="1612"/>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ind w:right="1192"/>
              <w:spacing w:after="0"/>
              <w:rPr>
                <w:sz w:val="20"/>
                <w:szCs w:val="20"/>
                <w:color w:val="auto"/>
              </w:rPr>
            </w:pPr>
            <w:r>
              <w:rPr>
                <w:rFonts w:ascii="Arial" w:cs="Arial" w:eastAsia="Arial" w:hAnsi="Arial"/>
                <w:sz w:val="18"/>
                <w:szCs w:val="18"/>
                <w:color w:val="auto"/>
              </w:rPr>
              <w:t>$</w:t>
            </w:r>
          </w:p>
        </w:tc>
      </w:tr>
    </w:tbl>
    <w:p>
      <w:pPr>
        <w:spacing w:after="0" w:line="491" w:lineRule="exact"/>
        <w:rPr>
          <w:sz w:val="24"/>
          <w:szCs w:val="24"/>
          <w:color w:val="auto"/>
        </w:rPr>
      </w:pPr>
    </w:p>
    <w:p>
      <w:pPr>
        <w:sectPr>
          <w:pgSz w:w="11900" w:h="16838" w:orient="portrait"/>
          <w:cols w:equalWidth="0" w:num="2">
            <w:col w:w="6880" w:space="680"/>
            <w:col w:w="3860"/>
          </w:cols>
          <w:pgMar w:left="240" w:top="230" w:right="239" w:bottom="1440" w:gutter="0" w:footer="0" w:header="0"/>
          <w:type w:val="continuous"/>
        </w:sectPr>
      </w:pPr>
    </w:p>
    <w:p>
      <w:pPr>
        <w:ind w:right="120" w:firstLine="456"/>
        <w:spacing w:after="0" w:line="238" w:lineRule="auto"/>
        <w:rPr>
          <w:sz w:val="20"/>
          <w:szCs w:val="20"/>
          <w:color w:val="auto"/>
        </w:rPr>
      </w:pPr>
      <w:r>
        <w:rPr>
          <w:rFonts w:ascii="Arial" w:cs="Arial" w:eastAsia="Arial" w:hAnsi="Arial"/>
          <w:sz w:val="18"/>
          <w:szCs w:val="18"/>
          <w:color w:val="auto"/>
        </w:rPr>
        <w:t>The selling stockholders have granted the underwriters an option for a period of 30 days to purchase up to 750,000 additional shares of common stock from the selling stockholders. We will not receive any proceeds from the exercise of the underwriters’ option to purchase additional shares.</w:t>
      </w:r>
    </w:p>
    <w:p>
      <w:pPr>
        <w:spacing w:after="0" w:line="154" w:lineRule="exact"/>
        <w:rPr>
          <w:sz w:val="24"/>
          <w:szCs w:val="24"/>
          <w:color w:val="auto"/>
        </w:rPr>
      </w:pPr>
    </w:p>
    <w:p>
      <w:pPr>
        <w:ind w:right="280" w:firstLine="456"/>
        <w:spacing w:after="0" w:line="239"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55" w:lineRule="exact"/>
        <w:rPr>
          <w:sz w:val="24"/>
          <w:szCs w:val="24"/>
          <w:color w:val="auto"/>
        </w:rPr>
      </w:pPr>
    </w:p>
    <w:p>
      <w:pPr>
        <w:ind w:left="460"/>
        <w:spacing w:after="0"/>
        <w:tabs>
          <w:tab w:leader="none" w:pos="8400" w:val="left"/>
        </w:tabs>
        <w:rPr>
          <w:sz w:val="20"/>
          <w:szCs w:val="20"/>
          <w:color w:val="auto"/>
        </w:rPr>
      </w:pPr>
      <w:r>
        <w:rPr>
          <w:rFonts w:ascii="Arial" w:cs="Arial" w:eastAsia="Arial" w:hAnsi="Arial"/>
          <w:sz w:val="18"/>
          <w:szCs w:val="18"/>
          <w:color w:val="auto"/>
        </w:rPr>
        <w:t>The underwriters expect to deliver the shares of common stock to purchasers on or about</w:t>
      </w:r>
      <w:r>
        <w:rPr>
          <w:sz w:val="20"/>
          <w:szCs w:val="20"/>
          <w:color w:val="auto"/>
        </w:rPr>
        <w:tab/>
      </w:r>
      <w:r>
        <w:rPr>
          <w:rFonts w:ascii="Arial" w:cs="Arial" w:eastAsia="Arial" w:hAnsi="Arial"/>
          <w:sz w:val="16"/>
          <w:szCs w:val="16"/>
          <w:color w:val="auto"/>
        </w:rPr>
        <w:t>, 2016.</w:t>
      </w:r>
    </w:p>
    <w:p>
      <w:pPr>
        <w:spacing w:after="0" w:line="159" w:lineRule="exact"/>
        <w:rPr>
          <w:sz w:val="24"/>
          <w:szCs w:val="24"/>
          <w:color w:val="auto"/>
        </w:rPr>
      </w:pPr>
    </w:p>
    <w:p>
      <w:pPr>
        <w:spacing w:after="0"/>
        <w:tabs>
          <w:tab w:leader="none" w:pos="6500" w:val="left"/>
        </w:tabs>
        <w:rPr>
          <w:sz w:val="20"/>
          <w:szCs w:val="20"/>
          <w:color w:val="auto"/>
        </w:rPr>
      </w:pPr>
      <w:r>
        <w:rPr>
          <w:rFonts w:ascii="Arial" w:cs="Arial" w:eastAsia="Arial" w:hAnsi="Arial"/>
          <w:sz w:val="32"/>
          <w:szCs w:val="32"/>
          <w:b w:val="1"/>
          <w:bCs w:val="1"/>
          <w:color w:val="auto"/>
        </w:rPr>
        <w:t>Credit Suisse</w:t>
      </w:r>
      <w:r>
        <w:rPr>
          <w:sz w:val="20"/>
          <w:szCs w:val="20"/>
          <w:color w:val="auto"/>
        </w:rPr>
        <w:tab/>
      </w:r>
      <w:r>
        <w:rPr>
          <w:rFonts w:ascii="Arial" w:cs="Arial" w:eastAsia="Arial" w:hAnsi="Arial"/>
          <w:sz w:val="32"/>
          <w:szCs w:val="32"/>
          <w:b w:val="1"/>
          <w:bCs w:val="1"/>
          <w:color w:val="auto"/>
        </w:rPr>
        <w:t>Goldman, Sachs &amp; Co.</w:t>
      </w:r>
    </w:p>
    <w:p>
      <w:pPr>
        <w:spacing w:after="0" w:line="230" w:lineRule="exact"/>
        <w:rPr>
          <w:sz w:val="24"/>
          <w:szCs w:val="24"/>
          <w:color w:val="auto"/>
        </w:rPr>
      </w:pPr>
    </w:p>
    <w:p>
      <w:pPr>
        <w:ind w:left="300"/>
        <w:spacing w:after="0"/>
        <w:tabs>
          <w:tab w:leader="none" w:pos="1640" w:val="left"/>
          <w:tab w:leader="none" w:pos="3820" w:val="left"/>
          <w:tab w:leader="none" w:pos="6160" w:val="left"/>
          <w:tab w:leader="none" w:pos="9280" w:val="left"/>
        </w:tabs>
        <w:rPr>
          <w:sz w:val="20"/>
          <w:szCs w:val="20"/>
          <w:color w:val="auto"/>
        </w:rPr>
      </w:pPr>
      <w:r>
        <w:rPr>
          <w:rFonts w:ascii="Arial" w:cs="Arial" w:eastAsia="Arial" w:hAnsi="Arial"/>
          <w:sz w:val="22"/>
          <w:szCs w:val="22"/>
          <w:b w:val="1"/>
          <w:bCs w:val="1"/>
          <w:color w:val="auto"/>
        </w:rPr>
        <w:t>Baird</w:t>
      </w:r>
      <w:r>
        <w:rPr>
          <w:sz w:val="20"/>
          <w:szCs w:val="20"/>
          <w:color w:val="auto"/>
        </w:rPr>
        <w:tab/>
      </w:r>
      <w:r>
        <w:rPr>
          <w:rFonts w:ascii="Arial" w:cs="Arial" w:eastAsia="Arial" w:hAnsi="Arial"/>
          <w:sz w:val="22"/>
          <w:szCs w:val="22"/>
          <w:b w:val="1"/>
          <w:bCs w:val="1"/>
          <w:color w:val="auto"/>
        </w:rPr>
        <w:t>William Blair</w:t>
      </w:r>
      <w:r>
        <w:rPr>
          <w:sz w:val="20"/>
          <w:szCs w:val="20"/>
          <w:color w:val="auto"/>
        </w:rPr>
        <w:tab/>
      </w:r>
      <w:r>
        <w:rPr>
          <w:rFonts w:ascii="Arial" w:cs="Arial" w:eastAsia="Arial" w:hAnsi="Arial"/>
          <w:sz w:val="22"/>
          <w:szCs w:val="22"/>
          <w:b w:val="1"/>
          <w:bCs w:val="1"/>
          <w:color w:val="auto"/>
        </w:rPr>
        <w:t>Piper Jaffray</w:t>
      </w:r>
      <w:r>
        <w:rPr>
          <w:sz w:val="20"/>
          <w:szCs w:val="20"/>
          <w:color w:val="auto"/>
        </w:rPr>
        <w:tab/>
      </w:r>
      <w:r>
        <w:rPr>
          <w:rFonts w:ascii="Arial" w:cs="Arial" w:eastAsia="Arial" w:hAnsi="Arial"/>
          <w:sz w:val="22"/>
          <w:szCs w:val="22"/>
          <w:b w:val="1"/>
          <w:bCs w:val="1"/>
          <w:color w:val="auto"/>
        </w:rPr>
        <w:t>D.A. Davidson &amp; Co.</w:t>
      </w:r>
      <w:r>
        <w:rPr>
          <w:sz w:val="20"/>
          <w:szCs w:val="20"/>
          <w:color w:val="auto"/>
        </w:rPr>
        <w:tab/>
      </w:r>
      <w:r>
        <w:rPr>
          <w:rFonts w:ascii="Arial" w:cs="Arial" w:eastAsia="Arial" w:hAnsi="Arial"/>
          <w:sz w:val="21"/>
          <w:szCs w:val="21"/>
          <w:b w:val="1"/>
          <w:bCs w:val="1"/>
          <w:color w:val="auto"/>
        </w:rPr>
        <w:t>Sterne Agee CRT</w:t>
      </w:r>
    </w:p>
    <w:p>
      <w:pPr>
        <w:spacing w:after="0" w:line="188" w:lineRule="exact"/>
        <w:rPr>
          <w:sz w:val="24"/>
          <w:szCs w:val="24"/>
          <w:color w:val="auto"/>
        </w:rPr>
      </w:pPr>
    </w:p>
    <w:p>
      <w:pPr>
        <w:ind w:left="3300"/>
        <w:spacing w:after="0"/>
        <w:tabs>
          <w:tab w:leader="none" w:pos="7560" w:val="left"/>
        </w:tabs>
        <w:rPr>
          <w:sz w:val="20"/>
          <w:szCs w:val="20"/>
          <w:color w:val="auto"/>
        </w:rPr>
      </w:pPr>
      <w:r>
        <w:rPr>
          <w:rFonts w:ascii="Arial" w:cs="Arial" w:eastAsia="Arial" w:hAnsi="Arial"/>
          <w:sz w:val="18"/>
          <w:szCs w:val="18"/>
          <w:color w:val="auto"/>
        </w:rPr>
        <w:t>The date of this prospectus supplement is</w:t>
      </w:r>
      <w:r>
        <w:rPr>
          <w:sz w:val="20"/>
          <w:szCs w:val="20"/>
          <w:color w:val="auto"/>
        </w:rPr>
        <w:tab/>
      </w:r>
      <w:r>
        <w:rPr>
          <w:rFonts w:ascii="Arial" w:cs="Arial" w:eastAsia="Arial" w:hAnsi="Arial"/>
          <w:sz w:val="16"/>
          <w:szCs w:val="16"/>
          <w:color w:val="auto"/>
        </w:rPr>
        <w:t>, 2016.</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700" w:type="dxa"/>
            <w:vAlign w:val="bottom"/>
            <w:gridSpan w:val="4"/>
          </w:tcPr>
          <w:p>
            <w:pPr>
              <w:ind w:left="54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00" w:type="dxa"/>
            <w:vAlign w:val="bottom"/>
            <w:gridSpan w:val="4"/>
            <w:vMerge w:val="restart"/>
          </w:tcPr>
          <w:p>
            <w:pPr>
              <w:jc w:val="center"/>
              <w:ind w:right="4660"/>
              <w:spacing w:after="0"/>
              <w:rPr>
                <w:sz w:val="20"/>
                <w:szCs w:val="20"/>
                <w:color w:val="auto"/>
              </w:rPr>
            </w:pPr>
            <w:r>
              <w:rPr>
                <w:rFonts w:ascii="Arial" w:cs="Arial" w:eastAsia="Arial" w:hAnsi="Arial"/>
                <w:sz w:val="18"/>
                <w:szCs w:val="18"/>
                <w:b w:val="1"/>
                <w:bCs w:val="1"/>
                <w:color w:val="auto"/>
                <w:w w:val="87"/>
              </w:rPr>
              <w:t>Prospectus Supplement</w:t>
            </w: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700" w:type="dxa"/>
            <w:vAlign w:val="bottom"/>
            <w:gridSpan w:val="4"/>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092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INFORMATION WE INCORPORATE BY REFERENCE</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2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SPECIAL NOTE REGARDING FORWARD-LOOKING STATEMENTS</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rPr>
              <w:t>S-v</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PROSPECTUS SUPPLEMENT SUMMARY</w:t>
              </w:r>
            </w:hyperlink>
          </w:p>
        </w:tc>
        <w:tc>
          <w:tcPr>
            <w:tcW w:w="2040" w:type="dxa"/>
            <w:vAlign w:val="bottom"/>
            <w:tcBorders>
              <w:top w:val="single" w:sz="8" w:color="0000EE"/>
            </w:tcBorders>
            <w:gridSpan w:val="5"/>
          </w:tcPr>
          <w:p>
            <w:pPr>
              <w:spacing w:after="0"/>
              <w:rPr>
                <w:sz w:val="17"/>
                <w:szCs w:val="17"/>
                <w:color w:val="auto"/>
              </w:rPr>
            </w:pPr>
          </w:p>
        </w:tc>
        <w:tc>
          <w:tcPr>
            <w:tcW w:w="5580" w:type="dxa"/>
            <w:vAlign w:val="bottom"/>
            <w:gridSpan w:val="3"/>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RISK FACTORS</w:t>
              </w:r>
            </w:hyperlink>
          </w:p>
        </w:tc>
        <w:tc>
          <w:tcPr>
            <w:tcW w:w="9660" w:type="dxa"/>
            <w:vAlign w:val="bottom"/>
            <w:gridSpan w:val="22"/>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4"/>
              </w:rPr>
              <w:t>S-12</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USE OF PROCEEDS</w:t>
              </w:r>
            </w:hyperlink>
          </w:p>
        </w:tc>
        <w:tc>
          <w:tcPr>
            <w:tcW w:w="9320" w:type="dxa"/>
            <w:vAlign w:val="bottom"/>
            <w:gridSpan w:val="18"/>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4"/>
              </w:rPr>
              <w:t>S-17</w:t>
            </w:r>
          </w:p>
        </w:tc>
        <w:tc>
          <w:tcPr>
            <w:tcW w:w="0" w:type="dxa"/>
            <w:vAlign w:val="bottom"/>
          </w:tcPr>
          <w:p>
            <w:pPr>
              <w:spacing w:after="0"/>
              <w:rPr>
                <w:sz w:val="1"/>
                <w:szCs w:val="1"/>
                <w:color w:val="auto"/>
              </w:rPr>
            </w:pPr>
          </w:p>
        </w:tc>
      </w:tr>
      <w:tr>
        <w:trPr>
          <w:trHeight w:val="196"/>
        </w:trPr>
        <w:tc>
          <w:tcPr>
            <w:tcW w:w="10920" w:type="dxa"/>
            <w:vAlign w:val="bottom"/>
            <w:gridSpan w:val="2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PRICE RANGE OF COMMON STOCK</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4"/>
              </w:rPr>
              <w:t>S-18</w:t>
            </w:r>
          </w:p>
        </w:tc>
        <w:tc>
          <w:tcPr>
            <w:tcW w:w="0" w:type="dxa"/>
            <w:vAlign w:val="bottom"/>
          </w:tcPr>
          <w:p>
            <w:pPr>
              <w:spacing w:after="0"/>
              <w:rPr>
                <w:sz w:val="1"/>
                <w:szCs w:val="1"/>
                <w:color w:val="auto"/>
              </w:rPr>
            </w:pPr>
          </w:p>
        </w:tc>
      </w:tr>
      <w:tr>
        <w:trPr>
          <w:trHeight w:val="196"/>
        </w:trPr>
        <w:tc>
          <w:tcPr>
            <w:tcW w:w="29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DIVIDEND POLICY</w:t>
              </w:r>
            </w:hyperlink>
          </w:p>
        </w:tc>
        <w:tc>
          <w:tcPr>
            <w:tcW w:w="7960" w:type="dxa"/>
            <w:vAlign w:val="bottom"/>
            <w:gridSpan w:val="10"/>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4"/>
              </w:rPr>
              <w:t>S-18</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SELLING STOCKHOLDERS</w:t>
              </w:r>
            </w:hyperlink>
          </w:p>
        </w:tc>
        <w:tc>
          <w:tcPr>
            <w:tcW w:w="8700" w:type="dxa"/>
            <w:vAlign w:val="bottom"/>
            <w:gridSpan w:val="14"/>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4"/>
              </w:rPr>
              <w:t>S-19</w:t>
            </w:r>
          </w:p>
        </w:tc>
        <w:tc>
          <w:tcPr>
            <w:tcW w:w="0" w:type="dxa"/>
            <w:vAlign w:val="bottom"/>
          </w:tcPr>
          <w:p>
            <w:pPr>
              <w:spacing w:after="0"/>
              <w:rPr>
                <w:sz w:val="1"/>
                <w:szCs w:val="1"/>
                <w:color w:val="auto"/>
              </w:rPr>
            </w:pPr>
          </w:p>
        </w:tc>
      </w:tr>
      <w:tr>
        <w:trPr>
          <w:trHeight w:val="196"/>
        </w:trPr>
        <w:tc>
          <w:tcPr>
            <w:tcW w:w="10920" w:type="dxa"/>
            <w:vAlign w:val="bottom"/>
            <w:gridSpan w:val="2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MATERIAL U.S. FEDERAL TAX CONSIDERATIONS FOR NON-U.S. HOLDERS</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4"/>
              </w:rPr>
              <w:t>S-20</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7"/>
              </w:rPr>
            </w:pPr>
            <w:hyperlink w:anchor="page30">
              <w:r>
                <w:rPr>
                  <w:rFonts w:ascii="Arial" w:cs="Arial" w:eastAsia="Arial" w:hAnsi="Arial"/>
                  <w:sz w:val="18"/>
                  <w:szCs w:val="18"/>
                  <w:color w:val="0000EE"/>
                  <w:w w:val="97"/>
                </w:rPr>
                <w:t>UNDERWRITING</w:t>
              </w:r>
            </w:hyperlink>
          </w:p>
        </w:tc>
        <w:tc>
          <w:tcPr>
            <w:tcW w:w="4800" w:type="dxa"/>
            <w:vAlign w:val="bottom"/>
            <w:tcBorders>
              <w:top w:val="single" w:sz="8" w:color="0000EE"/>
            </w:tcBorders>
            <w:gridSpan w:val="19"/>
          </w:tcPr>
          <w:p>
            <w:pPr>
              <w:spacing w:after="0"/>
              <w:rPr>
                <w:sz w:val="17"/>
                <w:szCs w:val="17"/>
                <w:color w:val="auto"/>
              </w:rPr>
            </w:pPr>
          </w:p>
        </w:tc>
        <w:tc>
          <w:tcPr>
            <w:tcW w:w="4720" w:type="dxa"/>
            <w:vAlign w:val="bottom"/>
            <w:gridSpan w:val="2"/>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4"/>
              </w:rPr>
              <w:t>S-24</w:t>
            </w:r>
          </w:p>
        </w:tc>
        <w:tc>
          <w:tcPr>
            <w:tcW w:w="0" w:type="dxa"/>
            <w:vAlign w:val="bottom"/>
          </w:tcPr>
          <w:p>
            <w:pPr>
              <w:spacing w:after="0"/>
              <w:rPr>
                <w:sz w:val="1"/>
                <w:szCs w:val="1"/>
                <w:color w:val="auto"/>
              </w:rPr>
            </w:pPr>
          </w:p>
        </w:tc>
      </w:tr>
      <w:tr>
        <w:trPr>
          <w:trHeight w:val="196"/>
        </w:trPr>
        <w:tc>
          <w:tcPr>
            <w:tcW w:w="10920" w:type="dxa"/>
            <w:vAlign w:val="bottom"/>
            <w:gridSpan w:val="2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LEGAL MATTERS</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4"/>
              </w:rPr>
              <w:t>S-32</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EXPERTS</w:t>
              </w:r>
            </w:hyperlink>
          </w:p>
        </w:tc>
        <w:tc>
          <w:tcPr>
            <w:tcW w:w="9460" w:type="dxa"/>
            <w:vAlign w:val="bottom"/>
            <w:gridSpan w:val="20"/>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4"/>
              </w:rPr>
              <w:t>S-32</w:t>
            </w:r>
          </w:p>
        </w:tc>
        <w:tc>
          <w:tcPr>
            <w:tcW w:w="0" w:type="dxa"/>
            <w:vAlign w:val="bottom"/>
          </w:tcPr>
          <w:p>
            <w:pPr>
              <w:spacing w:after="0"/>
              <w:rPr>
                <w:sz w:val="1"/>
                <w:szCs w:val="1"/>
                <w:color w:val="auto"/>
              </w:rPr>
            </w:pPr>
          </w:p>
        </w:tc>
      </w:tr>
      <w:tr>
        <w:trPr>
          <w:trHeight w:val="453"/>
        </w:trPr>
        <w:tc>
          <w:tcPr>
            <w:tcW w:w="7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00" w:type="dxa"/>
            <w:vAlign w:val="bottom"/>
            <w:gridSpan w:val="4"/>
          </w:tcPr>
          <w:p>
            <w:pPr>
              <w:jc w:val="center"/>
              <w:ind w:right="4660"/>
              <w:spacing w:after="0"/>
              <w:rPr>
                <w:sz w:val="20"/>
                <w:szCs w:val="20"/>
                <w:color w:val="auto"/>
              </w:rPr>
            </w:pPr>
            <w:r>
              <w:rPr>
                <w:rFonts w:ascii="Arial" w:cs="Arial" w:eastAsia="Arial" w:hAnsi="Arial"/>
                <w:sz w:val="18"/>
                <w:szCs w:val="18"/>
                <w:b w:val="1"/>
                <w:bCs w:val="1"/>
                <w:color w:val="auto"/>
                <w:w w:val="85"/>
              </w:rPr>
              <w:t>Prospectus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2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ABOUT THIS PROSPECTUS</w:t>
              </w:r>
            </w:hyperlink>
          </w:p>
        </w:tc>
        <w:tc>
          <w:tcPr>
            <w:tcW w:w="8680" w:type="dxa"/>
            <w:vAlign w:val="bottom"/>
            <w:gridSpan w:val="1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920" w:type="dxa"/>
            <w:vAlign w:val="bottom"/>
            <w:gridSpan w:val="2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WHERE YOU CAN FIND MORE INFORMATION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2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INFORMATION WE INCORPORATE BY REFERENCE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2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SPECIAL NOTE REGARDING FORWARD-LOOKING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3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SPORTSMAN’S WAREHOUSE HOLDINGS, INC.</w:t>
              </w:r>
            </w:hyperlink>
          </w:p>
        </w:tc>
        <w:tc>
          <w:tcPr>
            <w:tcW w:w="558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RISK FACTORS</w:t>
              </w:r>
            </w:hyperlink>
          </w:p>
        </w:tc>
        <w:tc>
          <w:tcPr>
            <w:tcW w:w="2560" w:type="dxa"/>
            <w:vAlign w:val="bottom"/>
            <w:tcBorders>
              <w:top w:val="single" w:sz="8" w:color="0000EE"/>
            </w:tcBorders>
            <w:gridSpan w:val="17"/>
          </w:tcPr>
          <w:p>
            <w:pPr>
              <w:spacing w:after="0"/>
              <w:rPr>
                <w:sz w:val="17"/>
                <w:szCs w:val="17"/>
                <w:color w:val="auto"/>
              </w:rPr>
            </w:pPr>
          </w:p>
        </w:tc>
        <w:tc>
          <w:tcPr>
            <w:tcW w:w="710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920" w:type="dxa"/>
            <w:vAlign w:val="bottom"/>
            <w:gridSpan w:val="2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RATIO OF EARNINGS TO FIXED CHARGES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USE OF PROCEEDS</w:t>
              </w:r>
            </w:hyperlink>
          </w:p>
        </w:tc>
        <w:tc>
          <w:tcPr>
            <w:tcW w:w="1900" w:type="dxa"/>
            <w:vAlign w:val="bottom"/>
            <w:tcBorders>
              <w:top w:val="single" w:sz="8" w:color="0000EE"/>
            </w:tcBorders>
            <w:gridSpan w:val="12"/>
          </w:tcPr>
          <w:p>
            <w:pPr>
              <w:spacing w:after="0"/>
              <w:rPr>
                <w:sz w:val="17"/>
                <w:szCs w:val="17"/>
                <w:color w:val="auto"/>
              </w:rPr>
            </w:pPr>
          </w:p>
        </w:tc>
        <w:tc>
          <w:tcPr>
            <w:tcW w:w="742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47">
              <w:r>
                <w:rPr>
                  <w:rFonts w:ascii="Arial" w:cs="Arial" w:eastAsia="Arial" w:hAnsi="Arial"/>
                  <w:sz w:val="18"/>
                  <w:szCs w:val="18"/>
                  <w:color w:val="0000EE"/>
                  <w:w w:val="96"/>
                </w:rPr>
                <w:t>CERTAIN RELATIONSHIPS AND RELATED PARTY TRANSACTIONS WITH SELLING STOCKHOLDERS</w:t>
              </w:r>
            </w:hyperlink>
          </w:p>
        </w:tc>
        <w:tc>
          <w:tcPr>
            <w:tcW w:w="26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SELLING STOCKHOLDERS</w:t>
              </w:r>
            </w:hyperlink>
          </w:p>
        </w:tc>
        <w:tc>
          <w:tcPr>
            <w:tcW w:w="870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51">
              <w:r>
                <w:rPr>
                  <w:rFonts w:ascii="Arial" w:cs="Arial" w:eastAsia="Arial" w:hAnsi="Arial"/>
                  <w:sz w:val="18"/>
                  <w:szCs w:val="18"/>
                  <w:color w:val="0000EE"/>
                  <w:w w:val="95"/>
                </w:rPr>
                <w:t>DESCRIPTION OF CAPITAL STOCK</w:t>
              </w:r>
            </w:hyperlink>
          </w:p>
        </w:tc>
        <w:tc>
          <w:tcPr>
            <w:tcW w:w="804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DESCRIPTION OF DEBT SECURITIES</w:t>
              </w:r>
            </w:hyperlink>
          </w:p>
        </w:tc>
        <w:tc>
          <w:tcPr>
            <w:tcW w:w="788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0920" w:type="dxa"/>
            <w:vAlign w:val="bottom"/>
            <w:gridSpan w:val="24"/>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DESCRIPTION OF WARRANTS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DESCRIPTION OF RIGHTS</w:t>
              </w:r>
            </w:hyperlink>
          </w:p>
        </w:tc>
        <w:tc>
          <w:tcPr>
            <w:tcW w:w="844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140" w:type="dxa"/>
            <w:vAlign w:val="bottom"/>
            <w:tcBorders>
              <w:top w:val="single" w:sz="8" w:color="0000EE"/>
            </w:tcBorders>
            <w:gridSpan w:val="9"/>
          </w:tcPr>
          <w:p>
            <w:pPr>
              <w:spacing w:after="0" w:line="196" w:lineRule="exact"/>
              <w:rPr>
                <w:rFonts w:ascii="Arial" w:cs="Arial" w:eastAsia="Arial" w:hAnsi="Arial"/>
                <w:sz w:val="18"/>
                <w:szCs w:val="18"/>
                <w:color w:val="0000EE"/>
                <w:w w:val="99"/>
              </w:rPr>
            </w:pPr>
            <w:hyperlink w:anchor="page69">
              <w:r>
                <w:rPr>
                  <w:rFonts w:ascii="Arial" w:cs="Arial" w:eastAsia="Arial" w:hAnsi="Arial"/>
                  <w:sz w:val="18"/>
                  <w:szCs w:val="18"/>
                  <w:color w:val="0000EE"/>
                  <w:w w:val="99"/>
                </w:rPr>
                <w:t>DESCRIPTION OF UNITS</w:t>
              </w:r>
            </w:hyperlink>
          </w:p>
        </w:tc>
        <w:tc>
          <w:tcPr>
            <w:tcW w:w="878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60" w:type="dxa"/>
            <w:vAlign w:val="bottom"/>
            <w:gridSpan w:val="1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97"/>
              </w:rPr>
            </w:pPr>
            <w:hyperlink w:anchor="page70">
              <w:r>
                <w:rPr>
                  <w:rFonts w:ascii="Arial" w:cs="Arial" w:eastAsia="Arial" w:hAnsi="Arial"/>
                  <w:sz w:val="18"/>
                  <w:szCs w:val="18"/>
                  <w:color w:val="0000EE"/>
                  <w:w w:val="97"/>
                </w:rPr>
                <w:t>PLAN OF DISTRIBUTION</w:t>
              </w:r>
            </w:hyperlink>
          </w:p>
        </w:tc>
        <w:tc>
          <w:tcPr>
            <w:tcW w:w="8860" w:type="dxa"/>
            <w:vAlign w:val="bottom"/>
            <w:gridSpan w:val="1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0920" w:type="dxa"/>
            <w:vAlign w:val="bottom"/>
            <w:gridSpan w:val="2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LEGAL MATTERS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17"/>
                <w:szCs w:val="17"/>
                <w:color w:val="auto"/>
              </w:rPr>
            </w:pPr>
          </w:p>
        </w:tc>
        <w:tc>
          <w:tcPr>
            <w:tcW w:w="9460" w:type="dxa"/>
            <w:vAlign w:val="bottom"/>
            <w:gridSpan w:val="2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document is in two parts. The first part is this prospectus supplement, which contains specific information about the selling stockholders and the terms on which the selling stockholders are offering and selling our common stock. The second part is the accompanying prospectus which contains and incorporates by reference important business and financial information about us and other information about this offering. This prospectus supplement and the accompanying prospectus are part of a shelf registration statement that we filed with the U.S. Securities and Exchange Commission (the “SEC”) under the Securities Act of 1933, as amended (the “Securities Act”).</w:t>
      </w:r>
    </w:p>
    <w:p>
      <w:pPr>
        <w:spacing w:after="0" w:line="184"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color w:val="auto"/>
        </w:rPr>
        <w:t>In making your investment decision, you should rely only on the information contained in or incorporated by reference in this prospectus supplement, the accompanying prospectus and any free writing prospectus filed by us with the SEC. We are responsible for the information contained in this prospectus supplement and the accompanying prospectus, including the information incorporated by reference herein as described herein and therein, and any free writing prospectus that we prepare and distribute. Neither we, the selling stockholders, nor the underwriters have authorized anyone to provide you with information different from that contained in or incorporated by reference into this prospectus supplement, the accompanying prospectus or any such free writing prospectus. Neither we, the selling stockholders, nor the underwriters are making an offer to sell, or soliciting an offer to buy, these securities in any jurisdiction where the offer or sale is not permitted. The information contained or incorporated by reference in this prospectus supplement, the accompanying prospectus or any related free writing prospectus filed by us with the SEC is accurate only as of the date of the applicable document. Our business, financial condition, results of operations and prospects may have changed since that date.</w:t>
      </w:r>
    </w:p>
    <w:p>
      <w:pPr>
        <w:spacing w:after="0" w:line="182"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As permitted by the rules and regulations of the SEC, this prospectus supplement and the accompanying prospectus do not contain all of the information included in the registration statement. For further information, we refer you to the registration statement on Form S-3, including its exhibits, of which this prospectus supplement and the accompanying prospectus form a part. We are subject to the informational requirements of the Securities Exchange Act of 1934, as amended (the “Exchange Act”), and therefore file reports and other information with the SEC. Statements contained in this prospectus supplement and the accompanying prospectus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spacing w:after="0" w:line="165"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Before you invest in our common stock, you should read the registration statement of which this document forms a part and this document, including the documents incorporated by reference in this prospectus supplement and the accompanying prospectus that are described under the caption “Where You Can Find More Information” in this prospectus supplement and the accompanying prospectus, and any free writing prospects that we prepare and distribute.</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 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Unless otherwise expressly indicated or the context otherwise requires, we use the terms “Sportsman’s Warehouse,” the “Company,” “we,” “us,” “our” or similar references to refer to Sportsman’s Warehouse Holdings, Inc. and its subsidiaries.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 action is being taken in any jurisdiction outside the United States to permit a public offering of the common stock or possession or distribution of this prospectus supplement in that jurisdiction. Persons who come into possession of this prospectus supplement in jurisdictions outside the United States are required to inform themselves about and to observe any restrictions as to this offering and the distribution of this prospectus supplement applicable to that jurisdiction.</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filed our registration statement on Form S-3 with the SEC under the Securities Act. We also file annual, quarterly and current reports, proxy statements and other information with the SEC. You may read and copy any document that we file with the SEC, including the registration statement and the exhibits to the registration statement, at the SEC’s Public Reference Room located at 100 F Street, N.E., Washington D.C. 20549. You may obtain further information on the operation of the Public Reference Room by calling the SEC at 1-800-SEC-0330. Our SEC filings are also available to the public at the SEC’s web site at www.sec.gov. These documents may also be accessed on our web site at www.sportsmanswarehouse.com. Information contained on, or accessible from, our web site is not incorporated by reference into this prospectus supplement and you should not consider information contained on our web site to be part of this prospectus supplement.</w:t>
      </w:r>
    </w:p>
    <w:p>
      <w:pPr>
        <w:spacing w:after="0" w:line="18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This prospectus supplement and the prospectus are part of a registration statement filed with the SEC and do not contain all of the information in the registration statement. The full registration statement may be obtained from the SEC or us as indicated above.</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WE INCORPORATE BY REFERENCE</w:t>
      </w:r>
    </w:p>
    <w:p>
      <w:pPr>
        <w:spacing w:after="0" w:line="22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SEC allows us to “incorporate by reference” in this prospectus supplement the information we file with it, which means that we can disclose important information to you by referring you to those documents. The information incorporated by reference is considered to be part of this prospectus supplement. 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We incorporate by reference in this prospectus supplement the following information (other than, in each case, documents or information deemed to have been furnished and not filed in accordance with SEC rules):</w:t>
      </w:r>
    </w:p>
    <w:p>
      <w:pPr>
        <w:spacing w:after="0" w:line="95" w:lineRule="exact"/>
        <w:rPr>
          <w:sz w:val="20"/>
          <w:szCs w:val="20"/>
          <w:color w:val="auto"/>
        </w:rPr>
      </w:pPr>
    </w:p>
    <w:p>
      <w:pPr>
        <w:jc w:val="both"/>
        <w:ind w:left="900" w:right="12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January 30, 2016 (filed with the SEC on March 24, 2016), including the information specifically incorporated by reference into such report from our Definitive Proxy Statement on Schedule 14A (filed with the SEC on March 28, 2016);</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15, 2016 and March 28, 2016; and</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our common stock in our registration statement on Form S-1 (File No. 333-194421) filed with the SEC on March 7, 2014, including any amendments and reports filed for the purpose of updating such description.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incorporate by reference each of the documents that we file with the SEC under Sections 13(a), 13(c), 14 or 15(d) of the Exchange Act on or after the date of this prospectus supplement and prior to the termination of the offering under this prospectus supplement. These documents include periodic reports, such as Annual Reports on Form 10-K, Quarterly Reports on Form 10-Q and Current Reports on Form 8-K, as well as proxy statements. We will not, however, incorporate by reference in this prospectus supplement any documents or portions thereof that are not deemed “filed” with the SEC, including any information furnished pursuant to Item 2.02 or Item 7.01 of our Current Reports on Form 8-K after the date of this prospectus supplement unless, and except to the extent, specified in such Current Reports.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will provide to each person, including any beneficial owner, to whom a prospectus (or a notice of registration in lieu thereof) is delivered a copy of any of these filings (other than an exhibit to these filings, unless the exhibit is specifically incorporated by reference as an exhibit to this prospectus supplement) at no cost, upon a request to us by writing or telephoning us at the following address and telephone number:</w:t>
      </w:r>
    </w:p>
    <w:p>
      <w:pPr>
        <w:spacing w:after="0" w:line="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Sportsman’s Warehouse Holdings,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Attn: Chief Financial Officer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7035 South High Tech Drive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Midvale, Utah 84047</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Number: (801) 566-6681</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This prospectus supplement, including the documents incorporated by reference herein, may contain or incorporate forward-looking statements within the meaning of the Private Securities Litigation Reform Act of 1995, as amended. All statements other than statements of historical fact included in this prospectus supplement, including the documents incorporated by reference herein, are forward-looking statements. These statements may include words such as “aim,” “anticipate,” “assume,” “believe,” “can have,” “could,” “due,” “estimate,” “expect,” “goal,” “intend,” “likely,” “may,” “objective,” “plan,” “potential,” “positioned,”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predicting the impact of known factors is very difficult, and we cannot anticipate all factors that could affect our actual results.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our forward-looking statements are subject to risks and uncertainties that may cause our actual results to differ materially from our expectations.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Important factors that could cause actual results to differ materially from our expectations include, but are not limited to:</w:t>
      </w:r>
    </w:p>
    <w:p>
      <w:pPr>
        <w:spacing w:after="0" w:line="116" w:lineRule="exact"/>
        <w:rPr>
          <w:sz w:val="20"/>
          <w:szCs w:val="20"/>
          <w:color w:val="auto"/>
        </w:rPr>
      </w:pPr>
    </w:p>
    <w:p>
      <w:pPr>
        <w:ind w:left="900" w:right="34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retail-based business model is impacted by general economic conditions and economic and financial uncertainties may cause a decline in consumer spending;</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concentration of stores in the Western United States makes us susceptible to adverse conditions in this region, which could affect our sales and cause our operating results to suffer;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operate in a highly fragmented and competitive industry and may face increased competition;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may not be able to anticipate, identify and respond to changes in consumer demands, including regional preferences, in a timely manner;</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not be successful in operating our stores in any existing or new markets into which we expand; and</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and future government regulations, in particular regulations relating to the sale of firearms and ammunition, may impact the demand for our products and our ability to conduct our business.</w:t>
      </w:r>
    </w:p>
    <w:p>
      <w:pPr>
        <w:spacing w:after="0" w:line="17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“Item 1A. Risk Factors,” in our Annual Report on Form 10-K for the year ended January 30, 2016, as such risk factors may be amended, supplemented or superseded from time to time by other reports we file with the SEC, including subsequent Annual Reports on Form 10-K and Quarterly Reports on Form 10-Q, and in any prospectus supplement.</w:t>
      </w:r>
    </w:p>
    <w:p>
      <w:pPr>
        <w:spacing w:after="0" w:line="18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on which they are made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S-v</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09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6109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80" w:firstLine="443"/>
        <w:spacing w:after="0" w:line="272" w:lineRule="auto"/>
        <w:rPr>
          <w:sz w:val="20"/>
          <w:szCs w:val="20"/>
          <w:color w:val="auto"/>
        </w:rPr>
      </w:pPr>
      <w:r>
        <w:rPr>
          <w:rFonts w:ascii="Arial" w:cs="Arial" w:eastAsia="Arial" w:hAnsi="Arial"/>
          <w:sz w:val="17"/>
          <w:szCs w:val="17"/>
          <w:i w:val="1"/>
          <w:iCs w:val="1"/>
          <w:color w:val="auto"/>
        </w:rPr>
        <w:t>This summary highlights the information contained elsewhere in this prospectus supplement, the accompanying prospectus and the documents incorporated by reference herein and therein, and is qualified in its entirety by reference to the more detailed information and financial statements appearing elsewhere in this prospectus supplement. Because this is only a summary, it does not contain all of the information that may be important to you. Before investing in our common stock you should read this entire prospectus supplement, the accompanying prospectus and any related free writing prospectus, together with all documents incorporated by reference herein and therein, carefully, including the “Risk Factors” section of this prospectus supplement and in our Annual Report on Form 10-K for the year ended January 30, 2016 and our consolidated financial statements and related notes incorporated by reference in this prospectus supplement.</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ind w:left="200" w:right="40" w:firstLine="443"/>
        <w:spacing w:after="0" w:line="254" w:lineRule="auto"/>
        <w:rPr>
          <w:sz w:val="20"/>
          <w:szCs w:val="20"/>
          <w:color w:val="auto"/>
        </w:rPr>
      </w:pPr>
      <w:r>
        <w:rPr>
          <w:rFonts w:ascii="Arial" w:cs="Arial" w:eastAsia="Arial" w:hAnsi="Arial"/>
          <w:sz w:val="18"/>
          <w:szCs w:val="18"/>
          <w:color w:val="auto"/>
        </w:rPr>
        <w:t>We are a high-growth outdoor sporting goods retailer focused on meeting the everyday needs of the seasoned outdoor veteran, the first-time participant and every enthusiast in between. Our mission is to provide a one-stop shopping experience that equips our customers with the right quality, brand name hunting, shooting, fishing and camping gear to maximize their enjoyment of the outdoors. We strive to accomplish this goal by tailoring our broad and deep merchandise assortment to meet local conditions and demand, offering everyday low prices, providing friendly support from our knowledgeable, highly trained staff and offering extensive in-store events and educational programming. These core strategies help position Sportsman’s Warehouse as the “local outdoor experts” and the preferred place to both shop and share outdoor-based experiences in the communities we serve. As a result, we are expanding our loyal customer base in existing markets and increasing our store footprint in new markets, which we believe will further drive our growth and profitability.</w:t>
      </w:r>
    </w:p>
    <w:p>
      <w:pPr>
        <w:spacing w:after="0" w:line="192"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We were founded in 1986 as a single retail store in Midvale, Utah and have grown to 67 stores across 20 states as of April 1, 2016. Today, we have the largest outdoor specialty store base in the Western United States and Alaska. Our stores range from 15,000 to 65,000 gross square feet, with an average size of approximately 44,000 gross square feet. Our store layout is adaptable to both standalone locations and strip centers. Based on publicly available information, we believe it is less capital-intensive for us to open new stores compared to our principal competitors because our “no frills” store layout requires less initial cash investment to build out and our stores generally require less square footage than the stores of our competitors. Together, these features enable us to effectively serve markets of multiple sizes, from Metropolitan Statistical Areas (“MSAs”) with populations of less than 75,000 to major metropolitan areas with populations in excess of 1,000,000, while generating consistent four-wall Adjusted EBITDA margins and returns on invested capital across a range of store sales volumes. We believe that the foregoing attributes have positioned us to deliver strong financial results, as evidenced by the following:</w:t>
      </w:r>
    </w:p>
    <w:p>
      <w:pPr>
        <w:spacing w:after="0" w:line="87"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Organic store unit growth of 63.6% over the past three fiscal years, representing a compound annual growth rate of 17.8%;</w:t>
      </w:r>
    </w:p>
    <w:p>
      <w:pPr>
        <w:spacing w:after="0" w:line="130" w:lineRule="exact"/>
        <w:rPr>
          <w:rFonts w:ascii="Arial" w:cs="Arial" w:eastAsia="Arial" w:hAnsi="Arial"/>
          <w:sz w:val="18"/>
          <w:szCs w:val="18"/>
          <w:color w:val="auto"/>
        </w:rPr>
      </w:pPr>
    </w:p>
    <w:p>
      <w:pPr>
        <w:ind w:left="1060" w:right="20" w:hanging="323"/>
        <w:spacing w:after="0" w:line="259"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Strong and consistent new store performance, with an average four-wall Adjusted EBITDA margin of 14.1% and an average pre-tax return on invested capital (“ROIC”) of 98.3% excluding initial inventory cost (and 34.2% including initial inventory cost) in the first twelve months of operations for our 20 stores opened since 2010 that have been open for a full twelve months (excluding the 10 stores acquired during this period); and</w:t>
      </w:r>
    </w:p>
    <w:p>
      <w:pPr>
        <w:spacing w:after="0" w:line="92" w:lineRule="exact"/>
        <w:rPr>
          <w:rFonts w:ascii="Arial" w:cs="Arial" w:eastAsia="Arial" w:hAnsi="Arial"/>
          <w:sz w:val="18"/>
          <w:szCs w:val="18"/>
          <w:color w:val="auto"/>
        </w:rPr>
      </w:pPr>
    </w:p>
    <w:p>
      <w:pPr>
        <w:ind w:left="1060" w:right="18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sales of $729.9 million for fiscal year 2015, representing a compound annual growth rate of 11.5% from net sales of $526.9 million for fiscal year 2012.</w:t>
      </w:r>
    </w:p>
    <w:p>
      <w:pPr>
        <w:spacing w:after="0" w:line="170"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color w:val="auto"/>
        </w:rPr>
        <w:t>Four-wall Adjusted EBITDA means, for any period, a particular store’s Adjusted EBITDA, excluding any allocations of corporate selling, general and administrative expenses allocated to that store. Four-wall Adjusted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845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6084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EBITDA margin means, for any period, a store’s four-wall Adjusted EBITDA divided by that store’s net sales. For a definition of Adjusted EBITDA and Adjusted EBITDA margin and a reconciliation of net income to Adjusted EBITDA, see “Summary Historical Consolidated Financial and Operating Data.” ROIC means a store’s four-wall Adjusted EBITDA for a given period divided by our initial cash investment in the store. We calculate ROIC both including and excluding the initial inventory cost.</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200" w:right="20" w:firstLine="443"/>
        <w:spacing w:after="0" w:line="276" w:lineRule="auto"/>
        <w:rPr>
          <w:sz w:val="20"/>
          <w:szCs w:val="20"/>
          <w:color w:val="auto"/>
        </w:rPr>
      </w:pPr>
      <w:r>
        <w:rPr>
          <w:rFonts w:ascii="Arial" w:cs="Arial" w:eastAsia="Arial" w:hAnsi="Arial"/>
          <w:sz w:val="17"/>
          <w:szCs w:val="17"/>
          <w:color w:val="auto"/>
        </w:rPr>
        <w:t>We compete in the large, growing and fragmented outdoor activities and sporting goods market, which we believe is currently underserved by full-line multi-activity retailers. We believe, based on reports by the National Sporting Goods Association (“NSGA”) and other industry sources, that U.S. outdoor activities and sporting goods retail sales totaled over $50 billion in 2013. The U.S. outdoor activities and sporting goods sector is comprised of three primary categories—equipment, clothing and footwear—with each category containing distinct product sets to support a variety of activities, including hunting, fishing, camping and shooting, as well as other sporting goods activities.</w:t>
      </w:r>
    </w:p>
    <w:p>
      <w:pPr>
        <w:spacing w:after="0" w:line="173" w:lineRule="exact"/>
        <w:rPr>
          <w:sz w:val="20"/>
          <w:szCs w:val="20"/>
          <w:color w:val="auto"/>
        </w:rPr>
      </w:pPr>
    </w:p>
    <w:p>
      <w:pPr>
        <w:ind w:left="200" w:firstLine="443"/>
        <w:spacing w:after="0" w:line="302" w:lineRule="auto"/>
        <w:rPr>
          <w:sz w:val="20"/>
          <w:szCs w:val="20"/>
          <w:color w:val="auto"/>
        </w:rPr>
      </w:pPr>
      <w:r>
        <w:rPr>
          <w:rFonts w:ascii="Arial" w:cs="Arial" w:eastAsia="Arial" w:hAnsi="Arial"/>
          <w:sz w:val="16"/>
          <w:szCs w:val="16"/>
          <w:color w:val="auto"/>
        </w:rPr>
        <w:t>We believe growth in the U.S. outdoor activities and sporting goods market is driven by several key trends, including: an expanding demographic focused on healthy and active lifestyles; successful new product introductions centered around enhancing performance and enjoyment while participating in sporting and outdoor activities; and the resilience of consumer demand for purchases in these categories versus other discretionary categories. We believe these factors will continue to foster growth in the outdoor activities and sporting goods market in the future.</w:t>
      </w:r>
    </w:p>
    <w:p>
      <w:pPr>
        <w:spacing w:after="0" w:line="154"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Within the retail sporting goods sector, we operate primarily in the outdoor equipment, clothing and footwear segment, which includes hunting and shooting, fishing, camping and boating. This segment is growing at a faster rate than the sporting goods industry at large. The 2011 U.S. Fish and Wildlife national survey, published once every five years, found that hunting and shooting and fishing participation increased 9% and 11%, respectively, for Americans aged 16 and older from 2006 to 2011. This survey also found that fishing participation among women increased by 17% over the same time period.</w:t>
      </w:r>
    </w:p>
    <w:p>
      <w:pPr>
        <w:spacing w:after="0" w:line="188" w:lineRule="exact"/>
        <w:rPr>
          <w:sz w:val="20"/>
          <w:szCs w:val="20"/>
          <w:color w:val="auto"/>
        </w:rPr>
      </w:pPr>
    </w:p>
    <w:p>
      <w:pPr>
        <w:jc w:val="both"/>
        <w:ind w:left="200" w:right="300" w:firstLine="443"/>
        <w:spacing w:after="0" w:line="264" w:lineRule="auto"/>
        <w:rPr>
          <w:sz w:val="20"/>
          <w:szCs w:val="20"/>
          <w:color w:val="auto"/>
        </w:rPr>
      </w:pPr>
      <w:r>
        <w:rPr>
          <w:rFonts w:ascii="Arial" w:cs="Arial" w:eastAsia="Arial" w:hAnsi="Arial"/>
          <w:sz w:val="18"/>
          <w:szCs w:val="18"/>
          <w:color w:val="auto"/>
        </w:rPr>
        <w:t>A 2015 NSGA report indicated that, from 2013 to 2014, there was a 7% increase in hunting with firearms participation, a 7% increase in target shooting (live ammunition) participation, a 9% increase in fishing (fresh water) participation, a 9% increase in female participation in target shooting (live ammo), and an 8% increase in female participation in fishing (fresh water) in the United States.</w:t>
      </w:r>
    </w:p>
    <w:p>
      <w:pPr>
        <w:spacing w:after="0" w:line="181" w:lineRule="exact"/>
        <w:rPr>
          <w:sz w:val="20"/>
          <w:szCs w:val="20"/>
          <w:color w:val="auto"/>
        </w:rPr>
      </w:pPr>
    </w:p>
    <w:p>
      <w:pPr>
        <w:ind w:left="200" w:right="40" w:firstLine="443"/>
        <w:spacing w:after="0" w:line="297" w:lineRule="auto"/>
        <w:rPr>
          <w:sz w:val="20"/>
          <w:szCs w:val="20"/>
          <w:color w:val="auto"/>
        </w:rPr>
      </w:pPr>
      <w:r>
        <w:rPr>
          <w:rFonts w:ascii="Arial" w:cs="Arial" w:eastAsia="Arial" w:hAnsi="Arial"/>
          <w:sz w:val="16"/>
          <w:szCs w:val="16"/>
          <w:color w:val="auto"/>
        </w:rPr>
        <w:t>Furthermore, we believe that specialty retailers have generated additional sales volume by expanding their presence, especially in smaller communities, which has increased customers’ access to products that formerly were less available. The nature of the outdoor activities to which we cater requires recurring purchases throughout the year, resulting in high rates of conversion among customers. For example, active anglers typically purchase various fishing tackle throughout the year based on seasons and changing conditions. Hunting with firearms typically is accompanied by recurring purchases of ammunition and cleaning supplies throughout the year and multiple firearm styles for different hunted game.</w:t>
      </w:r>
    </w:p>
    <w:p>
      <w:pPr>
        <w:spacing w:after="0" w:line="26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200" w:right="220" w:firstLine="443"/>
        <w:spacing w:after="0" w:line="277" w:lineRule="auto"/>
        <w:rPr>
          <w:sz w:val="20"/>
          <w:szCs w:val="20"/>
          <w:color w:val="auto"/>
        </w:rPr>
      </w:pPr>
      <w:r>
        <w:rPr>
          <w:rFonts w:ascii="Arial" w:cs="Arial" w:eastAsia="Arial" w:hAnsi="Arial"/>
          <w:sz w:val="18"/>
          <w:szCs w:val="18"/>
          <w:color w:val="auto"/>
        </w:rPr>
        <w:t>We believe the following competitive strengths allow us to capitalize on the growth opportunity within the outdoor activities and sporting goods market:</w:t>
      </w:r>
    </w:p>
    <w:p>
      <w:pPr>
        <w:spacing w:after="0" w:line="62" w:lineRule="exact"/>
        <w:rPr>
          <w:sz w:val="20"/>
          <w:szCs w:val="20"/>
          <w:color w:val="auto"/>
        </w:rPr>
      </w:pPr>
    </w:p>
    <w:p>
      <w:pPr>
        <w:jc w:val="both"/>
        <w:ind w:left="200" w:right="40" w:firstLine="443"/>
        <w:spacing w:after="0" w:line="264" w:lineRule="auto"/>
        <w:rPr>
          <w:sz w:val="20"/>
          <w:szCs w:val="20"/>
          <w:color w:val="auto"/>
        </w:rPr>
      </w:pPr>
      <w:r>
        <w:rPr>
          <w:rFonts w:ascii="Arial" w:cs="Arial" w:eastAsia="Arial" w:hAnsi="Arial"/>
          <w:sz w:val="18"/>
          <w:szCs w:val="18"/>
          <w:b w:val="1"/>
          <w:bCs w:val="1"/>
          <w:i w:val="1"/>
          <w:iCs w:val="1"/>
          <w:color w:val="auto"/>
        </w:rPr>
        <w:t>Differentiated Shopping Experience for the Seasoned Outdoor Veteran, the First-Time Participant and Every Enthusiast in Between</w:t>
      </w:r>
      <w:r>
        <w:rPr>
          <w:rFonts w:ascii="Arial" w:cs="Arial" w:eastAsia="Arial" w:hAnsi="Arial"/>
          <w:sz w:val="18"/>
          <w:szCs w:val="18"/>
          <w:color w:val="auto"/>
        </w:rPr>
        <w:t>. We place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great emphasis on creating an inviting and engaging store experience for customers of all experience levels. For the seasoned outdoor veteran, we offer a one-stop, convenient store layout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98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6984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that promotes “easy-in, easy-out” access to replenish supplies, learn about local conditions and test products. We also serve first-time participants and casual users who are interested in enjoying the outdoors but enter our store without a clear sense for what equipment they need for their chosen activity. Our highly trained employees, who often are outdoor enthusiasts themselves and users of the products we sell, engage and interact with our customers in order to educate them and equip them with the right gear. Our sales associates draw upon both formal vendor sales training as well as first-hand experiences from using our products in local conditions. This selling approach allows us to offer a broad range of products and to deliver a shopping experience centered on the customer’s needs, which we believe results in increased customer loyalty, repeat visits and frequent referrals to other potential customers.</w:t>
      </w:r>
    </w:p>
    <w:p>
      <w:pPr>
        <w:spacing w:after="0" w:line="189" w:lineRule="exact"/>
        <w:rPr>
          <w:sz w:val="20"/>
          <w:szCs w:val="20"/>
          <w:color w:val="auto"/>
        </w:rPr>
      </w:pPr>
    </w:p>
    <w:p>
      <w:pPr>
        <w:ind w:left="200" w:right="20" w:firstLine="443"/>
        <w:spacing w:after="0" w:line="254" w:lineRule="auto"/>
        <w:rPr>
          <w:sz w:val="20"/>
          <w:szCs w:val="20"/>
          <w:color w:val="auto"/>
        </w:rPr>
      </w:pPr>
      <w:r>
        <w:rPr>
          <w:rFonts w:ascii="Arial" w:cs="Arial" w:eastAsia="Arial" w:hAnsi="Arial"/>
          <w:sz w:val="18"/>
          <w:szCs w:val="18"/>
          <w:color w:val="auto"/>
        </w:rPr>
        <w:t>A customer’s shopping experience in our stores is further enhanced by a variety of helpful in-store offerings and features, including the issuance of hunting and fishing licenses, local fishing reports, availability of Sportsman’s News (our proprietary in-store newspaper), access to the Braggin’ Board (where customers can post photos of their outdoor adventures), indoor test ranges for archery equipment and displays of customer-owned taxidermy. In addition, we host a variety of in-store programs (such as “ladies night”), contests (such as Bucks &amp; Bulls, a free-to-enter, big-game trophy contest) and a wide range of instructional seminars, from turkey frying to firearm operation and safety. These programs are all designed to help our customers connect with the outdoors and build the skill sets necessary to maximize enjoyment of their chosen activities. As a result, we believe our stores often serve as gathering spots where local enthusiasts can share stories, product knowledge and advice on outdoor recreation activities, which both drives traffic and fosters customer loyalty.</w:t>
      </w:r>
    </w:p>
    <w:p>
      <w:pPr>
        <w:spacing w:after="0" w:line="192" w:lineRule="exact"/>
        <w:rPr>
          <w:sz w:val="20"/>
          <w:szCs w:val="20"/>
          <w:color w:val="auto"/>
        </w:rPr>
      </w:pPr>
    </w:p>
    <w:p>
      <w:pPr>
        <w:ind w:left="200" w:right="80" w:firstLine="443"/>
        <w:spacing w:after="0" w:line="342" w:lineRule="auto"/>
        <w:rPr>
          <w:sz w:val="20"/>
          <w:szCs w:val="20"/>
          <w:color w:val="auto"/>
        </w:rPr>
      </w:pPr>
      <w:r>
        <w:rPr>
          <w:rFonts w:ascii="Arial" w:cs="Arial" w:eastAsia="Arial" w:hAnsi="Arial"/>
          <w:sz w:val="16"/>
          <w:szCs w:val="16"/>
          <w:b w:val="1"/>
          <w:bCs w:val="1"/>
          <w:i w:val="1"/>
          <w:iCs w:val="1"/>
          <w:color w:val="auto"/>
        </w:rPr>
        <w:t>Locally Relevant Merchandise Serving the Comprehensive Needs of Outdoor Enthusiasts at a Compelling Value</w:t>
      </w:r>
      <w:r>
        <w:rPr>
          <w:rFonts w:ascii="Arial" w:cs="Arial" w:eastAsia="Arial" w:hAnsi="Arial"/>
          <w:sz w:val="16"/>
          <w:szCs w:val="16"/>
          <w:color w:val="auto"/>
        </w:rPr>
        <w:t>. We offer our customers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extensive and carefully selected assortment of branded, high-quality outdoor products at competitive prices. We accomplish this in three principal ways:</w:t>
      </w:r>
    </w:p>
    <w:p>
      <w:pPr>
        <w:spacing w:after="0" w:line="29" w:lineRule="exact"/>
        <w:rPr>
          <w:sz w:val="20"/>
          <w:szCs w:val="20"/>
          <w:color w:val="auto"/>
        </w:rPr>
      </w:pPr>
    </w:p>
    <w:p>
      <w:pPr>
        <w:ind w:left="1060" w:right="180" w:hanging="323"/>
        <w:spacing w:after="0" w:line="276"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Locally Relevant Merchandise: We carry over 70,000 SKUs on average in each store, out of a pool of approximately 120,000 total SKUs. SKU is an acronym for “stock keeping units,” which are unique alphanumeric identifiers assigned to a particular product that allow it to be tracked for inventory purposes. Each store’s merchandise is tailored to meet local conditions and consumer demand, taking into account seasonal requirements, regional game and fishing species, geographic diversity, weather patterns and key demographic factors, so that our customers have the right product, at the right time, for the right location.</w:t>
      </w:r>
    </w:p>
    <w:p>
      <w:pPr>
        <w:spacing w:after="0" w:line="77" w:lineRule="exact"/>
        <w:rPr>
          <w:rFonts w:ascii="Arial" w:cs="Arial" w:eastAsia="Arial" w:hAnsi="Arial"/>
          <w:sz w:val="17"/>
          <w:szCs w:val="17"/>
          <w:color w:val="auto"/>
        </w:rPr>
      </w:pPr>
    </w:p>
    <w:p>
      <w:pPr>
        <w:ind w:left="1060" w:hanging="323"/>
        <w:spacing w:after="0" w:line="255"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Breadth and Mix of Product Assortment: Our merchandise strategy is designed to serve a variety of purchasing occasions, from big-ticket items to replenishment activity, as well as to meet the wide-ranging needs of customers from first-time participants to seasoned outdoor veterans. We pride ourselves on carrying an extensive selection of branded, “good, better and best” hard goods at everyday low prices, including a broad array of in-stock consumable items. Approximately 35.0% of our unit sales and 20.0% of our dollar sales during fiscal year 2015 were consumable goods, such as ammunition, bait, cleaning supplies, food, lures, propane and reloading supplies. We believe this pairing of product breadth and consumable goods appeals to a broad range of customers and drives both repeat traffic and increased average ticket value.</w:t>
      </w:r>
    </w:p>
    <w:p>
      <w:pPr>
        <w:spacing w:after="0" w:line="94" w:lineRule="exact"/>
        <w:rPr>
          <w:rFonts w:ascii="Arial" w:cs="Arial" w:eastAsia="Arial" w:hAnsi="Arial"/>
          <w:sz w:val="18"/>
          <w:szCs w:val="18"/>
          <w:color w:val="auto"/>
        </w:rPr>
      </w:pPr>
    </w:p>
    <w:p>
      <w:pPr>
        <w:ind w:left="1060" w:right="60" w:hanging="323"/>
        <w:spacing w:after="0" w:line="255"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Vendor Relationships: We believe our vendors find our “brand-centric,” high-service store concept to be unique among national specialty outdoor retailers. Our attractive store locations, consistent presentation of merchandise and thorough product training present a compelling opportunity for our vendors to offer their brands to local markets that historically have been served primarily by “mom &amp; pop” retailers. As a result, we believe we are able to negotiate terms with our vendors that are similar to those offered to our principal competitors that are larger in size. We share the benefits of these strategic vendor relationships with our customers through better pricing and enhanced access to certain products that are limited in production.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78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firstLine="443"/>
        <w:spacing w:after="0" w:line="271" w:lineRule="auto"/>
        <w:rPr>
          <w:sz w:val="20"/>
          <w:szCs w:val="20"/>
          <w:color w:val="auto"/>
        </w:rPr>
      </w:pPr>
      <w:r>
        <w:rPr>
          <w:rFonts w:ascii="Arial" w:cs="Arial" w:eastAsia="Arial" w:hAnsi="Arial"/>
          <w:sz w:val="17"/>
          <w:szCs w:val="17"/>
          <w:b w:val="1"/>
          <w:bCs w:val="1"/>
          <w:i w:val="1"/>
          <w:iCs w:val="1"/>
          <w:color w:val="auto"/>
        </w:rPr>
        <w:t>Flexible and Adaptable Real Estate Strategy</w:t>
      </w:r>
      <w:r>
        <w:rPr>
          <w:rFonts w:ascii="Arial" w:cs="Arial" w:eastAsia="Arial" w:hAnsi="Arial"/>
          <w:sz w:val="17"/>
          <w:szCs w:val="17"/>
          <w:color w:val="auto"/>
        </w:rPr>
        <w:t>. We believe that our store model, combined with our rigorous site selection process, is uniquely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customizable to address the needs of the different markets we serve. Our stores can vary in size from approximately 15,000 to 65,000 gross square feet. We have had success with leasing existing sites as well as constructing new build-to-suit sites. Our flexible store model permits us to serve both large metropolitan areas, like Phoenix, Arizona, and smaller MSAs, like Soldotna, Alaska, while generating consistent four-wall Adjusted EBITDA margins and returns on invested capital across a range of store sales volumes. In small- to medium-sized markets, we are often able to establish ourselves as a standalone destination for our customers; in larger markets, we have successfully leveraged existing infrastructure to open stores in shopping plazas near complementary retailers, drawing upon existing foot traffic. We believe our low-cost, flexible model allows us to access both large and small markets more economically than many of our peers.</w:t>
      </w:r>
    </w:p>
    <w:p>
      <w:pPr>
        <w:spacing w:after="0" w:line="179"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We maintain a disciplined approach to new store development and perform comprehensive market research before selecting a new site, including partnering with specialized, third-party local real estate firms. We select sites based on criteria such as local demographics, traffic patterns, density of hunting and fishing license holders in the area, abundance of hunting and fishing game and outdoor recreation activities, store visibility and accessibility, purchase data from our existing customer database and availability of attractive lease terms. We have established productive relationships with well-regarded commercial real estate firms and believe that we are a sought-after tenant, given the strength of the Sportsman’s Warehouse brand, the high volume of customers that visit our stores and our flexible approach to site locations. As a result, we continue to have access to desirable retail sites on attractive terms.</w:t>
      </w:r>
    </w:p>
    <w:p>
      <w:pPr>
        <w:spacing w:after="0" w:line="189" w:lineRule="exact"/>
        <w:rPr>
          <w:sz w:val="20"/>
          <w:szCs w:val="20"/>
          <w:color w:val="auto"/>
        </w:rPr>
      </w:pPr>
    </w:p>
    <w:p>
      <w:pPr>
        <w:ind w:left="200" w:right="40" w:firstLine="443"/>
        <w:spacing w:after="0" w:line="269" w:lineRule="auto"/>
        <w:rPr>
          <w:sz w:val="20"/>
          <w:szCs w:val="20"/>
          <w:color w:val="auto"/>
        </w:rPr>
      </w:pPr>
      <w:r>
        <w:rPr>
          <w:rFonts w:ascii="Arial" w:cs="Arial" w:eastAsia="Arial" w:hAnsi="Arial"/>
          <w:sz w:val="17"/>
          <w:szCs w:val="17"/>
          <w:b w:val="1"/>
          <w:bCs w:val="1"/>
          <w:i w:val="1"/>
          <w:iCs w:val="1"/>
          <w:color w:val="auto"/>
        </w:rPr>
        <w:t>Low Cost Operating Structure with Attractive and Replicable Store Economics</w:t>
      </w:r>
      <w:r>
        <w:rPr>
          <w:rFonts w:ascii="Arial" w:cs="Arial" w:eastAsia="Arial" w:hAnsi="Arial"/>
          <w:sz w:val="17"/>
          <w:szCs w:val="17"/>
          <w:color w:val="auto"/>
        </w:rPr>
        <w:t>. We strive to maintain a lower operating cost structure than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principal competitors, which allows us to serve small- to medium-sized markets as well as larger MSAs. We achieve this by exercising tight control over store-level expenses, real estate costs and corporate overhead. In addition, our growing store base, efficient, localized marketing spend and “no frills” warehouse store layout help us maintain comparatively low operating costs and provide us with the opportunity to achieve four-wall Adjusted EBITDA margins of 10% or more for stores in most new markets. Our typical new store requires an average net investment of approximately $2.0 million, which includes store build-out (net of contributions from landlords) and pre-opening cash expenditures. In addition, we stock each new store with initial inventory at an average cost of approximately $2.4 million. We target a pre-tax return on invested capital within one year after opening of over 50% excluding initial inventory cost (or over 20% including initial inventory cost), although our historical returns have often exceeded these thresholds. As of the end of fiscal year 2015, all of our stores that had been open for more than twelve months were profitable and those stores had an average Adjusted EBITDA margin of 14.1%. We believe this low-cost, capital-efficient approach also allows us to successfully serve markets that are not well-suited for the more capital-intensive store models of our principal competitors. Approximately 59% of our markets currently lack another nationally recognized outdoor specialty retailer, which we believe is a result of these dynamics.</w:t>
      </w:r>
    </w:p>
    <w:p>
      <w:pPr>
        <w:spacing w:after="0" w:line="180" w:lineRule="exact"/>
        <w:rPr>
          <w:sz w:val="20"/>
          <w:szCs w:val="20"/>
          <w:color w:val="auto"/>
        </w:rPr>
      </w:pPr>
    </w:p>
    <w:p>
      <w:pPr>
        <w:ind w:left="200" w:right="240" w:firstLine="443"/>
        <w:spacing w:after="0" w:line="297" w:lineRule="auto"/>
        <w:rPr>
          <w:sz w:val="20"/>
          <w:szCs w:val="20"/>
          <w:color w:val="auto"/>
        </w:rPr>
      </w:pPr>
      <w:r>
        <w:rPr>
          <w:rFonts w:ascii="Arial" w:cs="Arial" w:eastAsia="Arial" w:hAnsi="Arial"/>
          <w:sz w:val="16"/>
          <w:szCs w:val="16"/>
          <w:b w:val="1"/>
          <w:bCs w:val="1"/>
          <w:i w:val="1"/>
          <w:iCs w:val="1"/>
          <w:color w:val="auto"/>
        </w:rPr>
        <w:t>Significant New Store Growth Opportunity within Existing and New Markets</w:t>
      </w:r>
      <w:r>
        <w:rPr>
          <w:rFonts w:ascii="Arial" w:cs="Arial" w:eastAsia="Arial" w:hAnsi="Arial"/>
          <w:sz w:val="16"/>
          <w:szCs w:val="16"/>
          <w:color w:val="auto"/>
        </w:rPr>
        <w:t>. We operate 67 stores across 20 states, primarily in the Western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and Alaska, with a presence in these markets that is nearly three times that of the next largest outdoor retailer. We believe our leadership position in the Western United States, combined with our existing scalable infrastructure, provides a strong foundation for continued expansion within our core markets. Over the longer term, we believe our distinct retail concept has the potential to expand to more than 300 locations throughout the United States based on research conducted for us by Buxton Company, an independent consumer research and analytics firm.</w:t>
      </w:r>
    </w:p>
    <w:p>
      <w:pPr>
        <w:spacing w:after="0" w:line="158"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b w:val="1"/>
          <w:bCs w:val="1"/>
          <w:i w:val="1"/>
          <w:iCs w:val="1"/>
          <w:color w:val="auto"/>
        </w:rPr>
        <w:t>Passionate and Experienced Management Team with Proven Track Record</w:t>
      </w:r>
      <w:r>
        <w:rPr>
          <w:rFonts w:ascii="Arial" w:cs="Arial" w:eastAsia="Arial" w:hAnsi="Arial"/>
          <w:sz w:val="17"/>
          <w:szCs w:val="17"/>
          <w:color w:val="auto"/>
        </w:rPr>
        <w:t>. We are focused on delivering an unsurpassed shopping experience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anyone who enjoys the excitement of the outdoors. This passion and commitment is shared by team members throughout our entire organization, from senior management to the employees in our stores. Our senior management team has an average of 20 years of retail experience, with extensive capabilities across a broad range of disciplines, including merchandising, real estate, finance,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981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398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compliance, store operations, supply chain management and information technology. We also pride ourselves on the long tenure of our more than 200 store managers and corporate employees, who have been with us for an average of approximately 9 years.</w:t>
      </w:r>
    </w:p>
    <w:p>
      <w:pPr>
        <w:spacing w:after="0" w:line="27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pursuing a number of strategies designed to continue our growth and strong financial performance, including:</w:t>
      </w:r>
    </w:p>
    <w:p>
      <w:pPr>
        <w:spacing w:after="0" w:line="117" w:lineRule="exact"/>
        <w:rPr>
          <w:sz w:val="20"/>
          <w:szCs w:val="20"/>
          <w:color w:val="auto"/>
        </w:rPr>
      </w:pPr>
    </w:p>
    <w:p>
      <w:pPr>
        <w:ind w:left="200" w:right="80" w:firstLine="443"/>
        <w:spacing w:after="0" w:line="254" w:lineRule="auto"/>
        <w:rPr>
          <w:sz w:val="20"/>
          <w:szCs w:val="20"/>
          <w:color w:val="auto"/>
        </w:rPr>
      </w:pPr>
      <w:r>
        <w:rPr>
          <w:rFonts w:ascii="Arial" w:cs="Arial" w:eastAsia="Arial" w:hAnsi="Arial"/>
          <w:sz w:val="18"/>
          <w:szCs w:val="18"/>
          <w:b w:val="1"/>
          <w:bCs w:val="1"/>
          <w:i w:val="1"/>
          <w:iCs w:val="1"/>
          <w:color w:val="auto"/>
        </w:rPr>
        <w:t>Expanding Our Store Base</w:t>
      </w:r>
      <w:r>
        <w:rPr>
          <w:rFonts w:ascii="Arial" w:cs="Arial" w:eastAsia="Arial" w:hAnsi="Arial"/>
          <w:sz w:val="18"/>
          <w:szCs w:val="18"/>
          <w:color w:val="auto"/>
        </w:rPr>
        <w:t>. We believe that our compelling new store economics and our track record of opening successful new stores provide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strong foundation for continued growth through new store openings in existing, adjacent and new markets. Over the last three fiscal years, we have opened an average of seven stores per year, excluding acquired stores. We have opened three new stores to date in fiscal year 2016 and currently plan to open an additional eight new stores in the remainder of fiscal year 2016. For the next several years thereafter, we intend to grow our store base at a rate of greater than 10 percent annually and expect that most of our near-term growth will occur within the Western United States. Our longer-term plans include expanding our store base to serve the outdoor needs of enthusiasts in markets across the United States. We believe our existing infrastructure, including distribution, information technology, loss prevention and employee training, is capable of sustaining 100 or more stores without significant additional capital investment.</w:t>
      </w:r>
    </w:p>
    <w:p>
      <w:pPr>
        <w:spacing w:after="0" w:line="192"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b w:val="1"/>
          <w:bCs w:val="1"/>
          <w:i w:val="1"/>
          <w:iCs w:val="1"/>
          <w:color w:val="auto"/>
        </w:rPr>
        <w:t>Increasing Same Store Sales Growth</w:t>
      </w:r>
      <w:r>
        <w:rPr>
          <w:rFonts w:ascii="Arial" w:cs="Arial" w:eastAsia="Arial" w:hAnsi="Arial"/>
          <w:sz w:val="18"/>
          <w:szCs w:val="18"/>
          <w:color w:val="auto"/>
        </w:rPr>
        <w:t>. We are committed to increasing same store sales through a number of ongoing and new initiatives,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expansion of our clothing offerings and private label program (such as our recently introduced proprietary Rustic Ridge</w:t>
      </w:r>
      <w:r>
        <w:rPr>
          <w:rFonts w:ascii="Arial" w:cs="Arial" w:eastAsia="Arial" w:hAnsi="Arial"/>
          <w:sz w:val="15"/>
          <w:szCs w:val="15"/>
          <w:color w:val="auto"/>
        </w:rPr>
        <w:t>TM</w:t>
      </w:r>
      <w:r>
        <w:rPr>
          <w:rFonts w:ascii="Arial" w:cs="Arial" w:eastAsia="Arial" w:hAnsi="Arial"/>
          <w:sz w:val="18"/>
          <w:szCs w:val="18"/>
          <w:color w:val="auto"/>
        </w:rPr>
        <w:t xml:space="preserve"> and Killik clothing lines), our loyalty program, the implementation of kiosks and mobile point-of-sale in our stores and expansion of our “store-within-a-store” programs with major brands such as Carhartt, Columbia Sportswear and Under Armour. Each of these initiatives is designed to foster additional shopping convenience, add deeper merchandise selection and provide more product information to the customer. We believe these initiatives will drive additional traffic, improve conversion and increase average ticket value.</w:t>
      </w:r>
    </w:p>
    <w:p>
      <w:pPr>
        <w:spacing w:after="0" w:line="193"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b w:val="1"/>
          <w:bCs w:val="1"/>
          <w:i w:val="1"/>
          <w:iCs w:val="1"/>
          <w:color w:val="auto"/>
        </w:rPr>
        <w:t>Continuing to Enhance Our Operating Margins</w:t>
      </w:r>
      <w:r>
        <w:rPr>
          <w:rFonts w:ascii="Arial" w:cs="Arial" w:eastAsia="Arial" w:hAnsi="Arial"/>
          <w:sz w:val="18"/>
          <w:szCs w:val="18"/>
          <w:color w:val="auto"/>
        </w:rPr>
        <w:t>. We believe that our planned expansion of our store base and growth in same store sales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 in improved Adjusted EBITDA margins as we take advantage of economies of scale in product sourcing and leverage our existing infrastructure, supply chain, corporate overhead and other fixed costs. Furthermore, we expect to increase our gross profit margin by expanding product offerings in our private label program, including our recently introduced proprietary Rustic Ridge</w:t>
      </w:r>
      <w:r>
        <w:rPr>
          <w:rFonts w:ascii="Arial" w:cs="Arial" w:eastAsia="Arial" w:hAnsi="Arial"/>
          <w:sz w:val="15"/>
          <w:szCs w:val="15"/>
          <w:color w:val="auto"/>
        </w:rPr>
        <w:t>TM</w:t>
      </w:r>
      <w:r>
        <w:rPr>
          <w:rFonts w:ascii="Arial" w:cs="Arial" w:eastAsia="Arial" w:hAnsi="Arial"/>
          <w:sz w:val="18"/>
          <w:szCs w:val="18"/>
          <w:color w:val="auto"/>
        </w:rPr>
        <w:t xml:space="preserve"> and Killik clothing lines, and continuing marketing initiatives in our higher-margin clothing and footwear departments.</w:t>
      </w:r>
    </w:p>
    <w:p>
      <w:pPr>
        <w:spacing w:after="0" w:line="188" w:lineRule="exact"/>
        <w:rPr>
          <w:sz w:val="20"/>
          <w:szCs w:val="20"/>
          <w:color w:val="auto"/>
        </w:rPr>
      </w:pPr>
    </w:p>
    <w:p>
      <w:pPr>
        <w:ind w:left="200" w:firstLine="443"/>
        <w:spacing w:after="0" w:line="271" w:lineRule="auto"/>
        <w:rPr>
          <w:sz w:val="20"/>
          <w:szCs w:val="20"/>
          <w:color w:val="auto"/>
        </w:rPr>
      </w:pPr>
      <w:r>
        <w:rPr>
          <w:rFonts w:ascii="Arial" w:cs="Arial" w:eastAsia="Arial" w:hAnsi="Arial"/>
          <w:sz w:val="17"/>
          <w:szCs w:val="17"/>
          <w:b w:val="1"/>
          <w:bCs w:val="1"/>
          <w:i w:val="1"/>
          <w:iCs w:val="1"/>
          <w:color w:val="auto"/>
        </w:rPr>
        <w:t>Growing the Sportsman’s Warehouse Brand</w:t>
      </w:r>
      <w:r>
        <w:rPr>
          <w:rFonts w:ascii="Arial" w:cs="Arial" w:eastAsia="Arial" w:hAnsi="Arial"/>
          <w:sz w:val="17"/>
          <w:szCs w:val="17"/>
          <w:color w:val="auto"/>
        </w:rPr>
        <w:t>. We are committed to supporting our stores, product offerings and brand through a variety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programs, private label offerings and corporate partnerships. Our marketing and promotional strategy includes coordinated print, digital and social media platforms. In-store, we offer a wide range of outdoor-themed activities and seminars, from turkey frying to firearm operation and safety. In addition, we sponsor community outreach and charity programs to more broadly connect with our local communities with the aim of promoting our brand and educating consumers. Finally, we are committed to local chapters of national, regional and local wildlife federations and other outdoor-focused organizations, such as Ducks Unlimited and the Rocky Mountain Elk Foundation. Many of our store managers and employees serve in senior positions in these organizations, which further strengthens our place as leaders in the local outdoor community. We believe all of these programs promote our mission of engaging with our customers and serving outdoor enthusiasts.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73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62731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business is subject to numerous risks and uncertainties, including those discussed in the section entitled “Risk Factors” beginning on page 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12 of this prospectus supplement. These risks include, but are not limited to, the following:</w:t>
      </w:r>
    </w:p>
    <w:p>
      <w:pPr>
        <w:spacing w:after="0" w:line="116" w:lineRule="exact"/>
        <w:rPr>
          <w:sz w:val="20"/>
          <w:szCs w:val="20"/>
          <w:color w:val="auto"/>
        </w:rPr>
      </w:pPr>
    </w:p>
    <w:p>
      <w:pPr>
        <w:ind w:left="106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retail-based business model is impacted by general economic conditions, and economic and financial uncertainties may cause a decline in consumer spending;</w:t>
      </w:r>
    </w:p>
    <w:p>
      <w:pPr>
        <w:spacing w:after="0" w:line="75" w:lineRule="exact"/>
        <w:rPr>
          <w:rFonts w:ascii="Arial" w:cs="Arial" w:eastAsia="Arial" w:hAnsi="Arial"/>
          <w:sz w:val="18"/>
          <w:szCs w:val="18"/>
          <w:color w:val="auto"/>
        </w:rPr>
      </w:pPr>
    </w:p>
    <w:p>
      <w:pPr>
        <w:ind w:left="1060" w:right="34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concentration of stores in the Western United States makes us susceptible to adverse conditions in this region, which could affect our sales and cause our operating results to suffer;</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operate in a highly fragmented and competitive industry and may face increased competition;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not be able to anticipate, identify and respond to changes in consumer demands, including regional preferences, in a timely manner;</w:t>
      </w:r>
    </w:p>
    <w:p>
      <w:pPr>
        <w:spacing w:after="0" w:line="153" w:lineRule="exact"/>
        <w:rPr>
          <w:rFonts w:ascii="Arial" w:cs="Arial" w:eastAsia="Arial" w:hAnsi="Arial"/>
          <w:sz w:val="16"/>
          <w:szCs w:val="16"/>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successful in operating our new stores in any existing or new markets into which we expand; and</w:t>
      </w:r>
    </w:p>
    <w:p>
      <w:pPr>
        <w:spacing w:after="0" w:line="130" w:lineRule="exact"/>
        <w:rPr>
          <w:rFonts w:ascii="Arial" w:cs="Arial" w:eastAsia="Arial" w:hAnsi="Arial"/>
          <w:sz w:val="18"/>
          <w:szCs w:val="18"/>
          <w:color w:val="auto"/>
        </w:rPr>
      </w:pPr>
    </w:p>
    <w:p>
      <w:pPr>
        <w:ind w:left="1060" w:right="10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and future government regulations, in particular regulations relating to the sale of firearms and ammunition, may impact the demand for our products and our ability to conduct our business.</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Principal Stockholder</w:t>
      </w:r>
    </w:p>
    <w:p>
      <w:pPr>
        <w:spacing w:after="0" w:line="121"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Affiliates of Seidler Equity Partners III, L.P. (collectively, “Seidler”), initially invested in us in 2007 and, prior to the completion of our initial public offering (“IPO”) in April 2014, beneficially owned all of our outstanding common stock. Seidler currently beneficially owns approximately 36.4% of our outstanding common stock.</w:t>
      </w:r>
    </w:p>
    <w:p>
      <w:pPr>
        <w:spacing w:after="0" w:line="181" w:lineRule="exact"/>
        <w:rPr>
          <w:sz w:val="20"/>
          <w:szCs w:val="20"/>
          <w:color w:val="auto"/>
        </w:rPr>
      </w:pPr>
    </w:p>
    <w:p>
      <w:pPr>
        <w:ind w:left="200" w:right="20" w:firstLine="443"/>
        <w:spacing w:after="0" w:line="264" w:lineRule="auto"/>
        <w:rPr>
          <w:sz w:val="20"/>
          <w:szCs w:val="20"/>
          <w:color w:val="auto"/>
        </w:rPr>
      </w:pPr>
      <w:r>
        <w:rPr>
          <w:rFonts w:ascii="Arial" w:cs="Arial" w:eastAsia="Arial" w:hAnsi="Arial"/>
          <w:sz w:val="18"/>
          <w:szCs w:val="18"/>
          <w:color w:val="auto"/>
        </w:rPr>
        <w:t>Headquartered in Marina del Rey, California, Seidler is a private equity investment firm with approximately $1.5 billion of assets under management. Seidler focuses on established, middle-market businesses that are leaders in their markets. Seidler also has significant experience managing investments in consumer and retail businesses.</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60" w:firstLine="443"/>
        <w:spacing w:after="0" w:line="276" w:lineRule="auto"/>
        <w:rPr>
          <w:sz w:val="20"/>
          <w:szCs w:val="20"/>
          <w:color w:val="auto"/>
        </w:rPr>
      </w:pPr>
      <w:r>
        <w:rPr>
          <w:rFonts w:ascii="Arial" w:cs="Arial" w:eastAsia="Arial" w:hAnsi="Arial"/>
          <w:sz w:val="17"/>
          <w:szCs w:val="17"/>
          <w:color w:val="auto"/>
        </w:rPr>
        <w:t>We are a holding company, and all of our business operations are conducted through our wholly owned subsidiaries, Sportsman’s Warehouse, Inc., a Utah corporation, and Minnesota Merchandising Corporation, a Minnesota corporation, and their subsidiaries. Our principal executive office is located at 7035 South High Tech Drive, Midvale, Utah 84047, and our telephone number is (801) 566-6681. We maintain a website at www.sportsmanswarehouse.com. Information contained on, or accessible from, our web site is not incorporated by reference into this prospectus supplement and you should not consider information contained on our web site to be part of this prospectus supplement.</w:t>
      </w:r>
    </w:p>
    <w:p>
      <w:pPr>
        <w:spacing w:after="0" w:line="2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 are an “emerging growth company” (an “EGC”) as defined in the Jumpstart Our Business Startups Act (the “JOBS Act”). We have taken, and for as long as we are an EGC, we may continue to take, advantage of certain exemptions from various reporting requirements that are applicable to other public companies that are not EGC, including, but not limited to, not being required to comply with the auditor attestation requirements of Section 404(b) of the Sarbanes-Oxley Act of 2002 (the “Sarbanes-Oxley Act”), reduced disclosure obligations regarding executive compensation in our periodic reports and proxy statements and exemptions from the requirements of holding stockholder advisory “say-on-pay” votes on executive compensation and stockholder advisory votes on golden parachute compensation.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9883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2988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JOBS Act, we will remain an EGC until the earliest of:</w:t>
      </w:r>
    </w:p>
    <w:p>
      <w:pPr>
        <w:spacing w:after="0" w:line="131" w:lineRule="exact"/>
        <w:rPr>
          <w:sz w:val="20"/>
          <w:szCs w:val="20"/>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last day of the fiscal year during which we have total annual gross revenue of $1 billion or more;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the closing of the IPO;</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on which we have, during the previous three-year period, issued more than $1 billion in non-convertible debt; and</w:t>
      </w:r>
    </w:p>
    <w:p>
      <w:pPr>
        <w:spacing w:after="0" w:line="130" w:lineRule="exact"/>
        <w:rPr>
          <w:rFonts w:ascii="Arial" w:cs="Arial" w:eastAsia="Arial" w:hAnsi="Arial"/>
          <w:sz w:val="18"/>
          <w:szCs w:val="18"/>
          <w:color w:val="auto"/>
        </w:rPr>
      </w:pPr>
    </w:p>
    <w:p>
      <w:pPr>
        <w:ind w:left="1060" w:right="240" w:hanging="323"/>
        <w:spacing w:after="0" w:line="291"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date on which we are deemed to be a “large accelerated filer” under the Exchange Act (we will qualify as a large accelerated filer as of the first day of the first fiscal year after we have (1) more than $700 million in outstanding common equity held by our non-affiliates and</w:t>
      </w:r>
    </w:p>
    <w:p>
      <w:pPr>
        <w:ind w:left="1060" w:right="100"/>
        <w:spacing w:after="0" w:line="261" w:lineRule="auto"/>
        <w:rPr>
          <w:rFonts w:ascii="Arial" w:cs="Arial" w:eastAsia="Arial" w:hAnsi="Arial"/>
          <w:sz w:val="16"/>
          <w:szCs w:val="16"/>
          <w:color w:val="auto"/>
        </w:rPr>
      </w:pPr>
      <w:r>
        <w:rPr>
          <w:rFonts w:ascii="Arial" w:cs="Arial" w:eastAsia="Arial" w:hAnsi="Arial"/>
          <w:sz w:val="18"/>
          <w:szCs w:val="18"/>
          <w:color w:val="auto"/>
        </w:rPr>
        <w:t>(2) been public for at least 12 months; the value of our outstanding common equity will be measured each year on the last day of our second fiscal quarter).</w:t>
      </w:r>
    </w:p>
    <w:p>
      <w:pPr>
        <w:spacing w:after="0" w:line="200" w:lineRule="exact"/>
        <w:rPr>
          <w:sz w:val="20"/>
          <w:szCs w:val="20"/>
          <w:color w:val="auto"/>
        </w:rPr>
      </w:pPr>
    </w:p>
    <w:p>
      <w:pPr>
        <w:spacing w:after="0" w:line="362"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 operate under our trademark “Sportsman’s Warehouse</w:t>
      </w:r>
      <w:r>
        <w:rPr>
          <w:rFonts w:ascii="Arial" w:cs="Arial" w:eastAsia="Arial" w:hAnsi="Arial"/>
          <w:sz w:val="15"/>
          <w:szCs w:val="15"/>
          <w:color w:val="auto"/>
        </w:rPr>
        <w:t>®</w:t>
      </w:r>
      <w:r>
        <w:rPr>
          <w:rFonts w:ascii="Arial" w:cs="Arial" w:eastAsia="Arial" w:hAnsi="Arial"/>
          <w:sz w:val="18"/>
          <w:szCs w:val="18"/>
          <w:color w:val="auto"/>
        </w:rPr>
        <w:t xml:space="preserve">” which is registered under applicable intellectual property laws. This prospectus supplement contains references to our trademarks and service marks and to those belonging to other entities. Solely for convenience, trademarks and trade names referred to in this prospectus supplement may appear without the </w:t>
      </w:r>
      <w:r>
        <w:rPr>
          <w:rFonts w:ascii="Arial" w:cs="Arial" w:eastAsia="Arial" w:hAnsi="Arial"/>
          <w:sz w:val="15"/>
          <w:szCs w:val="15"/>
          <w:color w:val="auto"/>
        </w:rPr>
        <w:t>®</w:t>
      </w:r>
      <w:r>
        <w:rPr>
          <w:rFonts w:ascii="Arial" w:cs="Arial" w:eastAsia="Arial" w:hAnsi="Arial"/>
          <w:sz w:val="18"/>
          <w:szCs w:val="18"/>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by us of or of us by, any such companies.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723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0723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200"/>
          </w:cols>
          <w:pgMar w:left="240" w:top="459" w:right="459" w:bottom="1440" w:gutter="0" w:footer="0" w:header="0"/>
        </w:sect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Common stock offered by selling stockholders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5,000,000 shares.</w:t>
      </w:r>
    </w:p>
    <w:p>
      <w:pPr>
        <w:spacing w:after="0" w:line="200" w:lineRule="exact"/>
        <w:rPr>
          <w:sz w:val="20"/>
          <w:szCs w:val="20"/>
          <w:color w:val="auto"/>
        </w:rPr>
      </w:pPr>
    </w:p>
    <w:p>
      <w:pPr>
        <w:sectPr>
          <w:pgSz w:w="11900" w:h="16838" w:orient="portrait"/>
          <w:cols w:equalWidth="0" w:num="2">
            <w:col w:w="3720" w:space="680"/>
            <w:col w:w="6800"/>
          </w:cols>
          <w:pgMar w:left="240" w:top="459" w:right="459" w:bottom="1440" w:gutter="0" w:footer="0" w:header="0"/>
          <w:type w:val="continuous"/>
        </w:sectPr>
      </w:pPr>
    </w:p>
    <w:p>
      <w:pPr>
        <w:spacing w:after="0" w:line="96"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b w:val="1"/>
          <w:bCs w:val="1"/>
          <w:color w:val="auto"/>
        </w:rPr>
        <w:t>Option to purchase additional shares offered by the</w:t>
      </w:r>
      <w:r>
        <w:rPr>
          <w:sz w:val="20"/>
          <w:szCs w:val="20"/>
          <w:color w:val="auto"/>
        </w:rPr>
        <w:tab/>
      </w:r>
      <w:r>
        <w:rPr>
          <w:rFonts w:ascii="Arial" w:cs="Arial" w:eastAsia="Arial" w:hAnsi="Arial"/>
          <w:sz w:val="16"/>
          <w:szCs w:val="16"/>
          <w:color w:val="auto"/>
        </w:rPr>
        <w:t>750,000 shares to be offered by SEP SWH Holdings, L.P. (“SEP”) and New SEP SWH</w:t>
      </w:r>
    </w:p>
    <w:p>
      <w:pPr>
        <w:sectPr>
          <w:pgSz w:w="11900" w:h="16838" w:orient="portrait"/>
          <w:cols w:equalWidth="0" w:num="1">
            <w:col w:w="11200"/>
          </w:cols>
          <w:pgMar w:left="240" w:top="459" w:right="459" w:bottom="1440" w:gutter="0" w:footer="0" w:header="0"/>
          <w:type w:val="continuous"/>
        </w:sectPr>
      </w:pPr>
    </w:p>
    <w:p>
      <w:pPr>
        <w:spacing w:after="0" w:line="27"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selling stockholders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Holdings, L.P. (“New SEP” and, together with SEP, the “SEP Funds”).</w:t>
      </w:r>
    </w:p>
    <w:p>
      <w:pPr>
        <w:spacing w:after="0" w:line="200"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spacing w:after="0" w:line="7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Common stock outstanding</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42,004,368 shares.</w:t>
      </w:r>
    </w:p>
    <w:p>
      <w:pPr>
        <w:spacing w:after="0" w:line="200"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spacing w:after="0" w:line="9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not receive any proceeds from the sale of shares by the selling stockholders. We will bear the costs associated with this registration in accordance with the registration rights agreement between us and the SEP Funds. However, the selling stockholders will bear any brokerage commissions, transfer taxes or underwriting commissions and discounts attributable to their sale of shares of our common stock.</w:t>
      </w:r>
    </w:p>
    <w:p>
      <w:pPr>
        <w:spacing w:after="0" w:line="200"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Dividend Policy</w:t>
      </w:r>
    </w:p>
    <w:p>
      <w:pPr>
        <w:spacing w:after="0" w:line="20" w:lineRule="exact"/>
        <w:rPr>
          <w:sz w:val="20"/>
          <w:szCs w:val="20"/>
          <w:color w:val="auto"/>
        </w:rPr>
      </w:pPr>
      <w:r>
        <w:rPr>
          <w:sz w:val="20"/>
          <w:szCs w:val="20"/>
          <w:color w:val="auto"/>
        </w:rPr>
        <w:br w:type="column"/>
      </w:r>
    </w:p>
    <w:p>
      <w:pPr>
        <w:ind w:right="180"/>
        <w:spacing w:after="0" w:line="264" w:lineRule="auto"/>
        <w:rPr>
          <w:sz w:val="20"/>
          <w:szCs w:val="20"/>
          <w:color w:val="auto"/>
        </w:rPr>
      </w:pPr>
      <w:r>
        <w:rPr>
          <w:rFonts w:ascii="Arial" w:cs="Arial" w:eastAsia="Arial" w:hAnsi="Arial"/>
          <w:sz w:val="18"/>
          <w:szCs w:val="18"/>
          <w:color w:val="auto"/>
        </w:rPr>
        <w:t>We currently expect to retain all available funds and future earnings, if any, for use in the operation and growth of our business and do not anticipate paying any cash dividends in the foreseeable future. See “Dividend Policy.”</w:t>
      </w:r>
    </w:p>
    <w:p>
      <w:pPr>
        <w:spacing w:after="0" w:line="200"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spacing w:after="0" w:line="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100"/>
        <w:spacing w:after="0" w:line="302" w:lineRule="auto"/>
        <w:rPr>
          <w:sz w:val="20"/>
          <w:szCs w:val="20"/>
          <w:color w:val="auto"/>
        </w:rPr>
      </w:pPr>
      <w:r>
        <w:rPr>
          <w:rFonts w:ascii="Arial" w:cs="Arial" w:eastAsia="Arial" w:hAnsi="Arial"/>
          <w:sz w:val="16"/>
          <w:szCs w:val="16"/>
          <w:color w:val="auto"/>
        </w:rPr>
        <w:t>Investing in our common stock involves a high degree of risk. See “Risk Factors” beginning on page S-12 of this prospectus supplement and the risk factors included in the documents incorporated by reference in this prospectus supplement and the accompanying prospectus to read about certain factors you should consider before buying shares of our common stock.</w:t>
      </w:r>
    </w:p>
    <w:p>
      <w:pPr>
        <w:spacing w:after="0" w:line="177"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SPWH</w:t>
      </w:r>
    </w:p>
    <w:p>
      <w:pPr>
        <w:spacing w:after="0" w:line="200"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spacing w:after="0" w:line="62" w:lineRule="exact"/>
        <w:rPr>
          <w:sz w:val="20"/>
          <w:szCs w:val="20"/>
          <w:color w:val="auto"/>
        </w:rPr>
      </w:pPr>
    </w:p>
    <w:p>
      <w:pPr>
        <w:ind w:left="200" w:right="300" w:firstLine="443"/>
        <w:spacing w:after="0" w:line="302" w:lineRule="auto"/>
        <w:rPr>
          <w:sz w:val="20"/>
          <w:szCs w:val="20"/>
          <w:color w:val="auto"/>
        </w:rPr>
      </w:pPr>
      <w:r>
        <w:rPr>
          <w:rFonts w:ascii="Arial" w:cs="Arial" w:eastAsia="Arial" w:hAnsi="Arial"/>
          <w:sz w:val="16"/>
          <w:szCs w:val="16"/>
          <w:color w:val="auto"/>
        </w:rPr>
        <w:t>In this prospectus supplement, unless otherwise indicated, the number of shares of common stock outstanding and the other information based thereon does not reflect, as of January 30, 2016, 1,728,995 shares of common stock available for future grant and 598,697 shares of common stock subject to outstanding awards under the Sportsman’s Warehouse Holdings, Inc. 2013 Performance Incentive Plan (the “Incentive Plan”) and 800,000 shares of common stock available for future purchase under Sportsman’s Warehouse Holdings, Inc. Employee Stock Purchase Plan (the “ESPP”).</w:t>
      </w:r>
    </w:p>
    <w:p>
      <w:pPr>
        <w:spacing w:after="0" w:line="154" w:lineRule="exact"/>
        <w:rPr>
          <w:sz w:val="20"/>
          <w:szCs w:val="20"/>
          <w:color w:val="auto"/>
        </w:rPr>
      </w:pPr>
    </w:p>
    <w:p>
      <w:pPr>
        <w:ind w:left="200" w:right="380" w:firstLine="443"/>
        <w:spacing w:after="0" w:line="277" w:lineRule="auto"/>
        <w:rPr>
          <w:sz w:val="20"/>
          <w:szCs w:val="20"/>
          <w:color w:val="auto"/>
        </w:rPr>
      </w:pPr>
      <w:r>
        <w:rPr>
          <w:rFonts w:ascii="Arial" w:cs="Arial" w:eastAsia="Arial" w:hAnsi="Arial"/>
          <w:sz w:val="18"/>
          <w:szCs w:val="18"/>
          <w:color w:val="auto"/>
        </w:rPr>
        <w:t>Unless otherwise indicated, all information in this prospectus supplement assumes no exercise by the underwriters of their option to purchase additional shares of common stock from the SEP Funds.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00"/>
          </w:cols>
          <w:pgMar w:left="240" w:top="459" w:right="4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09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6109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CONSOLIDATED FINANCIAL AND OPERATING DATA</w:t>
      </w:r>
    </w:p>
    <w:p>
      <w:pPr>
        <w:spacing w:after="0" w:line="229"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Our summary historical consolidated financial data and other data below should be read together with “Selected Financial Data,” “Management’s Discussion and Analysis of Financial Condition and Results of Operations” and our consolidated financial statements and the related notes thereto which appear in the documents incorporated by reference in this prospectus supplement.</w:t>
      </w:r>
    </w:p>
    <w:p>
      <w:pPr>
        <w:spacing w:after="0" w:line="181" w:lineRule="exact"/>
        <w:rPr>
          <w:sz w:val="20"/>
          <w:szCs w:val="20"/>
          <w:color w:val="auto"/>
        </w:rPr>
      </w:pPr>
    </w:p>
    <w:p>
      <w:pPr>
        <w:ind w:left="200" w:right="120" w:firstLine="443"/>
        <w:spacing w:after="0" w:line="257" w:lineRule="auto"/>
        <w:rPr>
          <w:sz w:val="20"/>
          <w:szCs w:val="20"/>
          <w:color w:val="auto"/>
        </w:rPr>
      </w:pPr>
      <w:r>
        <w:rPr>
          <w:rFonts w:ascii="Arial" w:cs="Arial" w:eastAsia="Arial" w:hAnsi="Arial"/>
          <w:sz w:val="18"/>
          <w:szCs w:val="18"/>
          <w:color w:val="auto"/>
        </w:rPr>
        <w:t>We operate on a fiscal calendar which, in a given fiscal year, consists of the 52- or 53-week period ending on the Saturday closest to January 31st. The reporting periods contained in our audited consolidated financial statements incorporated by reference in this prospectus contain 52 weeks of operations for each of our fiscal year ended January 30, 2016, which we refer to in this prospectus supplement as fiscal year 2015, our fiscal year ended January 31, 2015, which we refer to in this prospectus supplement as fiscal year 2014, and our fiscal year ended February 1, 2014, which we refer to in this prospectus supplement as fiscal year 2013.</w:t>
      </w:r>
    </w:p>
    <w:p>
      <w:pPr>
        <w:spacing w:after="0" w:line="188"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The following table sets forth our summary historical consolidated financial information and operating data as of the dates and for the periods indicated and gives effect to the 2.87-for-1 stock split of our common stock and the 2.87-for-1 stock split of our restricted nonvoting common stock effected on April 3, 2014. Our summary historical consolidated statements of income data for the fiscal years ended January 30, 2016, January 31, 2015 and February 1, 2014 and the summary consolidated balance sheet data as of January 30, 2016 and January 31, 2015 have been derived from our audited consolidated financial statements and related notes included in the documents incorporated by reference in this prospectus supplement. Our summary consolidated balance sheet data as of February 1, 2014 has been derived from our audited consolidated financial statements and related notes that are not incorporated by reference into this prospectus supplement. Historical results are not necessarily indicative of results that may be expected for any future period.</w:t>
      </w:r>
    </w:p>
    <w:p>
      <w:pPr>
        <w:spacing w:after="0" w:line="21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8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January 30,</w:t>
            </w:r>
          </w:p>
        </w:tc>
        <w:tc>
          <w:tcPr>
            <w:tcW w:w="1040" w:type="dxa"/>
            <w:vAlign w:val="bottom"/>
          </w:tcPr>
          <w:p>
            <w:pPr>
              <w:spacing w:after="0"/>
              <w:rPr>
                <w:sz w:val="10"/>
                <w:szCs w:val="10"/>
                <w:color w:val="auto"/>
              </w:rPr>
            </w:pPr>
          </w:p>
        </w:tc>
        <w:tc>
          <w:tcPr>
            <w:tcW w:w="2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January 31,</w:t>
            </w: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February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2015</w:t>
            </w:r>
          </w:p>
        </w:tc>
        <w:tc>
          <w:tcPr>
            <w:tcW w:w="1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20" w:type="dxa"/>
            <w:vAlign w:val="bottom"/>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Statements of Income Data:</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Arial" w:cs="Arial" w:eastAsia="Arial" w:hAnsi="Arial"/>
                <w:sz w:val="16"/>
                <w:szCs w:val="16"/>
                <w:color w:val="auto"/>
              </w:rPr>
              <w:t>Net sales</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w w:val="96"/>
              </w:rPr>
              <w:t>729,912</w:t>
            </w:r>
          </w:p>
        </w:tc>
        <w:tc>
          <w:tcPr>
            <w:tcW w:w="118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940" w:type="dxa"/>
            <w:vAlign w:val="bottom"/>
            <w:gridSpan w:val="2"/>
          </w:tcPr>
          <w:p>
            <w:pPr>
              <w:jc w:val="right"/>
              <w:ind w:right="1360"/>
              <w:spacing w:after="0"/>
              <w:rPr>
                <w:sz w:val="20"/>
                <w:szCs w:val="20"/>
                <w:color w:val="auto"/>
              </w:rPr>
            </w:pPr>
            <w:r>
              <w:rPr>
                <w:rFonts w:ascii="Arial" w:cs="Arial" w:eastAsia="Arial" w:hAnsi="Arial"/>
                <w:sz w:val="16"/>
                <w:szCs w:val="16"/>
                <w:color w:val="auto"/>
                <w:w w:val="96"/>
              </w:rPr>
              <w:t>660,003</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w w:val="96"/>
              </w:rPr>
              <w:t>643,163</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6"/>
              </w:rPr>
              <w:t>491,382</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360"/>
              <w:spacing w:after="0"/>
              <w:rPr>
                <w:sz w:val="20"/>
                <w:szCs w:val="20"/>
                <w:color w:val="auto"/>
              </w:rPr>
            </w:pPr>
            <w:r>
              <w:rPr>
                <w:rFonts w:ascii="Arial" w:cs="Arial" w:eastAsia="Arial" w:hAnsi="Arial"/>
                <w:sz w:val="16"/>
                <w:szCs w:val="16"/>
                <w:color w:val="auto"/>
                <w:w w:val="96"/>
              </w:rPr>
              <w:t>444,796</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6"/>
              </w:rPr>
              <w:t>435,933</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w w:val="96"/>
              </w:rPr>
              <w:t>238,530</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1360"/>
              <w:spacing w:after="0"/>
              <w:rPr>
                <w:sz w:val="20"/>
                <w:szCs w:val="20"/>
                <w:color w:val="auto"/>
              </w:rPr>
            </w:pPr>
            <w:r>
              <w:rPr>
                <w:rFonts w:ascii="Arial" w:cs="Arial" w:eastAsia="Arial" w:hAnsi="Arial"/>
                <w:sz w:val="16"/>
                <w:szCs w:val="16"/>
                <w:color w:val="auto"/>
                <w:w w:val="96"/>
              </w:rPr>
              <w:t>215,207</w:t>
            </w:r>
          </w:p>
        </w:tc>
        <w:tc>
          <w:tcPr>
            <w:tcW w:w="14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w w:val="96"/>
              </w:rPr>
              <w:t>207,230</w:t>
            </w: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6"/>
              </w:rPr>
              <w:t>179,218</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360"/>
              <w:spacing w:after="0"/>
              <w:rPr>
                <w:sz w:val="20"/>
                <w:szCs w:val="20"/>
                <w:color w:val="auto"/>
              </w:rPr>
            </w:pPr>
            <w:r>
              <w:rPr>
                <w:rFonts w:ascii="Arial" w:cs="Arial" w:eastAsia="Arial" w:hAnsi="Arial"/>
                <w:sz w:val="16"/>
                <w:szCs w:val="16"/>
                <w:color w:val="auto"/>
                <w:w w:val="96"/>
              </w:rPr>
              <w:t>170,315</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6"/>
              </w:rPr>
              <w:t>147,140</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Arial" w:cs="Arial" w:eastAsia="Arial" w:hAnsi="Arial"/>
                <w:sz w:val="16"/>
                <w:szCs w:val="16"/>
                <w:color w:val="auto"/>
              </w:rPr>
              <w:t>Bankruptcy-related expenses(1)</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59,312</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360"/>
              <w:spacing w:after="0"/>
              <w:rPr>
                <w:sz w:val="20"/>
                <w:szCs w:val="20"/>
                <w:color w:val="auto"/>
              </w:rPr>
            </w:pPr>
            <w:r>
              <w:rPr>
                <w:rFonts w:ascii="Arial" w:cs="Arial" w:eastAsia="Arial" w:hAnsi="Arial"/>
                <w:sz w:val="16"/>
                <w:szCs w:val="16"/>
                <w:color w:val="auto"/>
              </w:rPr>
              <w:t>44,892</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60,035</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(14,156)</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1300"/>
              <w:spacing w:after="0"/>
              <w:rPr>
                <w:sz w:val="20"/>
                <w:szCs w:val="20"/>
                <w:color w:val="auto"/>
              </w:rPr>
            </w:pPr>
            <w:r>
              <w:rPr>
                <w:rFonts w:ascii="Arial" w:cs="Arial" w:eastAsia="Arial" w:hAnsi="Arial"/>
                <w:sz w:val="16"/>
                <w:szCs w:val="16"/>
                <w:color w:val="auto"/>
              </w:rPr>
              <w:t>(22,480)</w:t>
            </w:r>
          </w:p>
        </w:tc>
        <w:tc>
          <w:tcPr>
            <w:tcW w:w="1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(25,447)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45,156</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360"/>
              <w:spacing w:after="0"/>
              <w:rPr>
                <w:sz w:val="20"/>
                <w:szCs w:val="20"/>
                <w:color w:val="auto"/>
              </w:rPr>
            </w:pPr>
            <w:r>
              <w:rPr>
                <w:rFonts w:ascii="Arial" w:cs="Arial" w:eastAsia="Arial" w:hAnsi="Arial"/>
                <w:sz w:val="16"/>
                <w:szCs w:val="16"/>
                <w:color w:val="auto"/>
              </w:rPr>
              <w:t>22,412</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34,588</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17,385</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1360"/>
              <w:spacing w:after="0"/>
              <w:rPr>
                <w:sz w:val="20"/>
                <w:szCs w:val="20"/>
                <w:color w:val="auto"/>
              </w:rPr>
            </w:pPr>
            <w:r>
              <w:rPr>
                <w:rFonts w:ascii="Arial" w:cs="Arial" w:eastAsia="Arial" w:hAnsi="Arial"/>
                <w:sz w:val="16"/>
                <w:szCs w:val="16"/>
                <w:color w:val="auto"/>
              </w:rPr>
              <w:t>8,628</w:t>
            </w:r>
          </w:p>
        </w:tc>
        <w:tc>
          <w:tcPr>
            <w:tcW w:w="14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12,838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27,771</w:t>
            </w:r>
          </w:p>
        </w:tc>
        <w:tc>
          <w:tcPr>
            <w:tcW w:w="118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940" w:type="dxa"/>
            <w:vAlign w:val="bottom"/>
            <w:gridSpan w:val="2"/>
            <w:shd w:val="clear" w:color="auto" w:fill="CCEEFF"/>
          </w:tcPr>
          <w:p>
            <w:pPr>
              <w:jc w:val="right"/>
              <w:ind w:right="1360"/>
              <w:spacing w:after="0"/>
              <w:rPr>
                <w:sz w:val="20"/>
                <w:szCs w:val="20"/>
                <w:color w:val="auto"/>
              </w:rPr>
            </w:pPr>
            <w:r>
              <w:rPr>
                <w:rFonts w:ascii="Arial" w:cs="Arial" w:eastAsia="Arial" w:hAnsi="Arial"/>
                <w:sz w:val="16"/>
                <w:szCs w:val="16"/>
                <w:color w:val="auto"/>
              </w:rPr>
              <w:t>13,784</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21,750</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6"/>
                <w:szCs w:val="16"/>
                <w:color w:val="auto"/>
              </w:rPr>
              <w:t>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0.66</w:t>
            </w:r>
          </w:p>
        </w:tc>
        <w:tc>
          <w:tcPr>
            <w:tcW w:w="118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940" w:type="dxa"/>
            <w:vAlign w:val="bottom"/>
            <w:gridSpan w:val="2"/>
            <w:shd w:val="clear" w:color="auto" w:fill="CCEEFF"/>
          </w:tcPr>
          <w:p>
            <w:pPr>
              <w:jc w:val="right"/>
              <w:ind w:right="1360"/>
              <w:spacing w:after="0"/>
              <w:rPr>
                <w:sz w:val="20"/>
                <w:szCs w:val="20"/>
                <w:color w:val="auto"/>
              </w:rPr>
            </w:pPr>
            <w:r>
              <w:rPr>
                <w:rFonts w:ascii="Arial" w:cs="Arial" w:eastAsia="Arial" w:hAnsi="Arial"/>
                <w:sz w:val="16"/>
                <w:szCs w:val="16"/>
                <w:color w:val="auto"/>
              </w:rPr>
              <w:t>0.34</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320"/>
              <w:spacing w:after="0"/>
              <w:rPr>
                <w:sz w:val="20"/>
                <w:szCs w:val="20"/>
                <w:color w:val="auto"/>
              </w:rPr>
            </w:pPr>
            <w:r>
              <w:rPr>
                <w:rFonts w:ascii="Arial" w:cs="Arial" w:eastAsia="Arial" w:hAnsi="Arial"/>
                <w:sz w:val="16"/>
                <w:szCs w:val="16"/>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80" w:type="dxa"/>
            <w:vAlign w:val="bottom"/>
            <w:vMerge w:val="continue"/>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0.66</w:t>
            </w:r>
          </w:p>
        </w:tc>
        <w:tc>
          <w:tcPr>
            <w:tcW w:w="118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940" w:type="dxa"/>
            <w:vAlign w:val="bottom"/>
            <w:gridSpan w:val="2"/>
          </w:tcPr>
          <w:p>
            <w:pPr>
              <w:jc w:val="right"/>
              <w:ind w:right="1360"/>
              <w:spacing w:after="0"/>
              <w:rPr>
                <w:sz w:val="20"/>
                <w:szCs w:val="20"/>
                <w:color w:val="auto"/>
              </w:rPr>
            </w:pPr>
            <w:r>
              <w:rPr>
                <w:rFonts w:ascii="Arial" w:cs="Arial" w:eastAsia="Arial" w:hAnsi="Arial"/>
                <w:sz w:val="16"/>
                <w:szCs w:val="16"/>
                <w:color w:val="auto"/>
              </w:rPr>
              <w:t>0.34</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outstanding:</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320"/>
              <w:spacing w:after="0"/>
              <w:rPr>
                <w:sz w:val="20"/>
                <w:szCs w:val="20"/>
                <w:color w:val="auto"/>
              </w:rPr>
            </w:pPr>
            <w:r>
              <w:rPr>
                <w:rFonts w:ascii="Arial" w:cs="Arial" w:eastAsia="Arial" w:hAnsi="Arial"/>
                <w:sz w:val="16"/>
                <w:szCs w:val="16"/>
                <w:color w:val="auto"/>
              </w:rPr>
              <w:t>Basic</w:t>
            </w:r>
          </w:p>
        </w:tc>
        <w:tc>
          <w:tcPr>
            <w:tcW w:w="1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41,966</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1360"/>
              <w:spacing w:after="0"/>
              <w:rPr>
                <w:sz w:val="20"/>
                <w:szCs w:val="20"/>
                <w:color w:val="auto"/>
              </w:rPr>
            </w:pPr>
            <w:r>
              <w:rPr>
                <w:rFonts w:ascii="Arial" w:cs="Arial" w:eastAsia="Arial" w:hAnsi="Arial"/>
                <w:sz w:val="16"/>
                <w:szCs w:val="16"/>
                <w:color w:val="auto"/>
              </w:rPr>
              <w:t>39,961</w:t>
            </w:r>
          </w:p>
        </w:tc>
        <w:tc>
          <w:tcPr>
            <w:tcW w:w="14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33,170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42,334</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360"/>
              <w:spacing w:after="0"/>
              <w:rPr>
                <w:sz w:val="20"/>
                <w:szCs w:val="20"/>
                <w:color w:val="auto"/>
              </w:rPr>
            </w:pPr>
            <w:r>
              <w:rPr>
                <w:rFonts w:ascii="Arial" w:cs="Arial" w:eastAsia="Arial" w:hAnsi="Arial"/>
                <w:sz w:val="16"/>
                <w:szCs w:val="16"/>
                <w:color w:val="auto"/>
              </w:rPr>
              <w:t>40,141</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33,185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81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65817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right"/>
              <w:ind w:right="864"/>
              <w:spacing w:after="0"/>
              <w:rPr>
                <w:sz w:val="20"/>
                <w:szCs w:val="20"/>
                <w:color w:val="auto"/>
              </w:rPr>
            </w:pPr>
            <w:r>
              <w:rPr>
                <w:rFonts w:ascii="Arial" w:cs="Arial" w:eastAsia="Arial" w:hAnsi="Arial"/>
                <w:sz w:val="14"/>
                <w:szCs w:val="14"/>
                <w:b w:val="1"/>
                <w:bCs w:val="1"/>
                <w:color w:val="auto"/>
                <w:w w:val="92"/>
              </w:rPr>
              <w:t>Fiscal Year Ended</w:t>
            </w: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19"/>
        </w:trPr>
        <w:tc>
          <w:tcPr>
            <w:tcW w:w="4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jc w:val="center"/>
              <w:ind w:right="504"/>
              <w:spacing w:after="0" w:line="119" w:lineRule="exact"/>
              <w:rPr>
                <w:sz w:val="20"/>
                <w:szCs w:val="20"/>
                <w:color w:val="auto"/>
              </w:rPr>
            </w:pPr>
            <w:r>
              <w:rPr>
                <w:rFonts w:ascii="Arial" w:cs="Arial" w:eastAsia="Arial" w:hAnsi="Arial"/>
                <w:sz w:val="13"/>
                <w:szCs w:val="13"/>
                <w:b w:val="1"/>
                <w:bCs w:val="1"/>
                <w:color w:val="auto"/>
              </w:rPr>
              <w:t>January 30,</w:t>
            </w:r>
          </w:p>
        </w:tc>
        <w:tc>
          <w:tcPr>
            <w:tcW w:w="900" w:type="dxa"/>
            <w:vAlign w:val="bottom"/>
          </w:tcPr>
          <w:p>
            <w:pPr>
              <w:spacing w:after="0"/>
              <w:rPr>
                <w:sz w:val="10"/>
                <w:szCs w:val="10"/>
                <w:color w:val="auto"/>
              </w:rPr>
            </w:pPr>
          </w:p>
        </w:tc>
        <w:tc>
          <w:tcPr>
            <w:tcW w:w="2080" w:type="dxa"/>
            <w:vAlign w:val="bottom"/>
          </w:tcPr>
          <w:p>
            <w:pPr>
              <w:jc w:val="center"/>
              <w:ind w:right="964"/>
              <w:spacing w:after="0" w:line="119" w:lineRule="exact"/>
              <w:rPr>
                <w:sz w:val="20"/>
                <w:szCs w:val="20"/>
                <w:color w:val="auto"/>
              </w:rPr>
            </w:pPr>
            <w:r>
              <w:rPr>
                <w:rFonts w:ascii="Arial" w:cs="Arial" w:eastAsia="Arial" w:hAnsi="Arial"/>
                <w:sz w:val="13"/>
                <w:szCs w:val="13"/>
                <w:b w:val="1"/>
                <w:bCs w:val="1"/>
                <w:color w:val="auto"/>
              </w:rPr>
              <w:t>January 31,</w:t>
            </w:r>
          </w:p>
        </w:tc>
        <w:tc>
          <w:tcPr>
            <w:tcW w:w="540" w:type="dxa"/>
            <w:vAlign w:val="bottom"/>
          </w:tcPr>
          <w:p>
            <w:pPr>
              <w:spacing w:after="0"/>
              <w:rPr>
                <w:sz w:val="10"/>
                <w:szCs w:val="10"/>
                <w:color w:val="auto"/>
              </w:rPr>
            </w:pPr>
          </w:p>
        </w:tc>
        <w:tc>
          <w:tcPr>
            <w:tcW w:w="1080" w:type="dxa"/>
            <w:vAlign w:val="bottom"/>
          </w:tcPr>
          <w:p>
            <w:pPr>
              <w:jc w:val="center"/>
              <w:ind w:right="84"/>
              <w:spacing w:after="0" w:line="119" w:lineRule="exact"/>
              <w:rPr>
                <w:sz w:val="20"/>
                <w:szCs w:val="20"/>
                <w:color w:val="auto"/>
              </w:rPr>
            </w:pPr>
            <w:r>
              <w:rPr>
                <w:rFonts w:ascii="Arial" w:cs="Arial" w:eastAsia="Arial" w:hAnsi="Arial"/>
                <w:sz w:val="13"/>
                <w:szCs w:val="13"/>
                <w:b w:val="1"/>
                <w:bCs w:val="1"/>
                <w:color w:val="auto"/>
              </w:rPr>
              <w:t>February 1,</w:t>
            </w:r>
          </w:p>
        </w:tc>
        <w:tc>
          <w:tcPr>
            <w:tcW w:w="240" w:type="dxa"/>
            <w:vAlign w:val="bottom"/>
          </w:tcPr>
          <w:p>
            <w:pPr>
              <w:spacing w:after="0"/>
              <w:rPr>
                <w:sz w:val="10"/>
                <w:szCs w:val="10"/>
                <w:color w:val="auto"/>
              </w:rPr>
            </w:pPr>
          </w:p>
        </w:tc>
      </w:tr>
      <w:tr>
        <w:trPr>
          <w:trHeight w:val="171"/>
        </w:trPr>
        <w:tc>
          <w:tcPr>
            <w:tcW w:w="4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504"/>
              <w:spacing w:after="0"/>
              <w:rPr>
                <w:sz w:val="20"/>
                <w:szCs w:val="20"/>
                <w:color w:val="auto"/>
              </w:rPr>
            </w:pPr>
            <w:r>
              <w:rPr>
                <w:rFonts w:ascii="Arial" w:cs="Arial" w:eastAsia="Arial" w:hAnsi="Arial"/>
                <w:sz w:val="14"/>
                <w:szCs w:val="14"/>
                <w:b w:val="1"/>
                <w:bCs w:val="1"/>
                <w:color w:val="auto"/>
                <w:w w:val="96"/>
              </w:rPr>
              <w:t>2016</w:t>
            </w:r>
          </w:p>
        </w:tc>
        <w:tc>
          <w:tcPr>
            <w:tcW w:w="9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center"/>
              <w:ind w:right="964"/>
              <w:spacing w:after="0"/>
              <w:rPr>
                <w:sz w:val="20"/>
                <w:szCs w:val="20"/>
                <w:color w:val="auto"/>
              </w:rPr>
            </w:pPr>
            <w:r>
              <w:rPr>
                <w:rFonts w:ascii="Arial" w:cs="Arial" w:eastAsia="Arial" w:hAnsi="Arial"/>
                <w:sz w:val="14"/>
                <w:szCs w:val="14"/>
                <w:b w:val="1"/>
                <w:bCs w:val="1"/>
                <w:color w:val="auto"/>
                <w:w w:val="89"/>
              </w:rPr>
              <w:t>2015</w:t>
            </w: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9"/>
              </w:rPr>
              <w:t>2014</w:t>
            </w:r>
          </w:p>
        </w:tc>
        <w:tc>
          <w:tcPr>
            <w:tcW w:w="24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980" w:type="dxa"/>
            <w:vAlign w:val="bottom"/>
            <w:gridSpan w:val="2"/>
          </w:tcPr>
          <w:p>
            <w:pPr>
              <w:jc w:val="right"/>
              <w:ind w:right="284"/>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03"/>
        </w:trPr>
        <w:tc>
          <w:tcPr>
            <w:tcW w:w="4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Sheet Data:</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344"/>
              <w:spacing w:after="0"/>
              <w:rPr>
                <w:sz w:val="20"/>
                <w:szCs w:val="20"/>
                <w:color w:val="auto"/>
              </w:rPr>
            </w:pPr>
            <w:r>
              <w:rPr>
                <w:rFonts w:ascii="Arial" w:cs="Arial" w:eastAsia="Arial" w:hAnsi="Arial"/>
                <w:sz w:val="16"/>
                <w:szCs w:val="16"/>
                <w:color w:val="auto"/>
              </w:rPr>
              <w:t>233,059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864"/>
              <w:spacing w:after="0"/>
              <w:rPr>
                <w:sz w:val="20"/>
                <w:szCs w:val="20"/>
                <w:color w:val="auto"/>
              </w:rPr>
            </w:pPr>
            <w:r>
              <w:rPr>
                <w:rFonts w:ascii="Arial" w:cs="Arial" w:eastAsia="Arial" w:hAnsi="Arial"/>
                <w:sz w:val="16"/>
                <w:szCs w:val="16"/>
                <w:color w:val="auto"/>
              </w:rPr>
              <w:t>203,671</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176,316</w:t>
            </w:r>
          </w:p>
        </w:tc>
      </w:tr>
      <w:tr>
        <w:trPr>
          <w:trHeight w:val="203"/>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44"/>
              <w:spacing w:after="0"/>
              <w:rPr>
                <w:sz w:val="20"/>
                <w:szCs w:val="20"/>
                <w:color w:val="auto"/>
              </w:rPr>
            </w:pPr>
            <w:r>
              <w:rPr>
                <w:rFonts w:ascii="Arial" w:cs="Arial" w:eastAsia="Arial" w:hAnsi="Arial"/>
                <w:sz w:val="16"/>
                <w:szCs w:val="16"/>
                <w:color w:val="auto"/>
              </w:rPr>
              <w:t>303,024</w:t>
            </w:r>
          </w:p>
        </w:tc>
        <w:tc>
          <w:tcPr>
            <w:tcW w:w="900" w:type="dxa"/>
            <w:vAlign w:val="bottom"/>
            <w:shd w:val="clear" w:color="auto" w:fill="CCEEFF"/>
          </w:tcPr>
          <w:p>
            <w:pPr>
              <w:spacing w:after="0"/>
              <w:rPr>
                <w:sz w:val="17"/>
                <w:szCs w:val="17"/>
                <w:color w:val="auto"/>
              </w:rPr>
            </w:pPr>
          </w:p>
        </w:tc>
        <w:tc>
          <w:tcPr>
            <w:tcW w:w="208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rPr>
              <w:t>270,723</w:t>
            </w:r>
          </w:p>
        </w:tc>
        <w:tc>
          <w:tcPr>
            <w:tcW w:w="5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224,229</w:t>
            </w:r>
          </w:p>
        </w:tc>
      </w:tr>
      <w:tr>
        <w:trPr>
          <w:trHeight w:val="193"/>
        </w:trPr>
        <w:tc>
          <w:tcPr>
            <w:tcW w:w="4580" w:type="dxa"/>
            <w:vAlign w:val="bottom"/>
          </w:tcPr>
          <w:p>
            <w:pPr>
              <w:spacing w:after="0"/>
              <w:rPr>
                <w:sz w:val="20"/>
                <w:szCs w:val="20"/>
                <w:color w:val="auto"/>
              </w:rPr>
            </w:pPr>
            <w:r>
              <w:rPr>
                <w:rFonts w:ascii="Arial" w:cs="Arial" w:eastAsia="Arial" w:hAnsi="Arial"/>
                <w:sz w:val="16"/>
                <w:szCs w:val="16"/>
                <w:color w:val="auto"/>
              </w:rPr>
              <w:t>Long term debt (including current portion), net of</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9"/>
        </w:trPr>
        <w:tc>
          <w:tcPr>
            <w:tcW w:w="4580" w:type="dxa"/>
            <w:vAlign w:val="bottom"/>
          </w:tcPr>
          <w:p>
            <w:pPr>
              <w:ind w:left="160"/>
              <w:spacing w:after="0"/>
              <w:rPr>
                <w:sz w:val="20"/>
                <w:szCs w:val="20"/>
                <w:color w:val="auto"/>
              </w:rPr>
            </w:pPr>
            <w:r>
              <w:rPr>
                <w:rFonts w:ascii="Arial" w:cs="Arial" w:eastAsia="Arial" w:hAnsi="Arial"/>
                <w:sz w:val="16"/>
                <w:szCs w:val="16"/>
                <w:color w:val="auto"/>
              </w:rPr>
              <w:t>discount</w:t>
            </w:r>
          </w:p>
        </w:tc>
        <w:tc>
          <w:tcPr>
            <w:tcW w:w="160" w:type="dxa"/>
            <w:vAlign w:val="bottom"/>
          </w:tcPr>
          <w:p>
            <w:pPr>
              <w:spacing w:after="0"/>
              <w:rPr>
                <w:sz w:val="18"/>
                <w:szCs w:val="18"/>
                <w:color w:val="auto"/>
              </w:rPr>
            </w:pPr>
          </w:p>
        </w:tc>
        <w:tc>
          <w:tcPr>
            <w:tcW w:w="1480" w:type="dxa"/>
            <w:vAlign w:val="bottom"/>
          </w:tcPr>
          <w:p>
            <w:pPr>
              <w:jc w:val="right"/>
              <w:ind w:right="344"/>
              <w:spacing w:after="0"/>
              <w:rPr>
                <w:sz w:val="20"/>
                <w:szCs w:val="20"/>
                <w:color w:val="auto"/>
              </w:rPr>
            </w:pPr>
            <w:r>
              <w:rPr>
                <w:rFonts w:ascii="Arial" w:cs="Arial" w:eastAsia="Arial" w:hAnsi="Arial"/>
                <w:sz w:val="16"/>
                <w:szCs w:val="16"/>
                <w:color w:val="auto"/>
              </w:rPr>
              <w:t>156,712</w:t>
            </w:r>
          </w:p>
        </w:tc>
        <w:tc>
          <w:tcPr>
            <w:tcW w:w="900" w:type="dxa"/>
            <w:vAlign w:val="bottom"/>
          </w:tcPr>
          <w:p>
            <w:pPr>
              <w:spacing w:after="0"/>
              <w:rPr>
                <w:sz w:val="18"/>
                <w:szCs w:val="18"/>
                <w:color w:val="auto"/>
              </w:rPr>
            </w:pPr>
          </w:p>
        </w:tc>
        <w:tc>
          <w:tcPr>
            <w:tcW w:w="2080" w:type="dxa"/>
            <w:vAlign w:val="bottom"/>
          </w:tcPr>
          <w:p>
            <w:pPr>
              <w:jc w:val="right"/>
              <w:ind w:right="864"/>
              <w:spacing w:after="0"/>
              <w:rPr>
                <w:sz w:val="20"/>
                <w:szCs w:val="20"/>
                <w:color w:val="auto"/>
              </w:rPr>
            </w:pPr>
            <w:r>
              <w:rPr>
                <w:rFonts w:ascii="Arial" w:cs="Arial" w:eastAsia="Arial" w:hAnsi="Arial"/>
                <w:sz w:val="16"/>
                <w:szCs w:val="16"/>
                <w:color w:val="auto"/>
              </w:rPr>
              <w:t>158,046</w:t>
            </w:r>
          </w:p>
        </w:tc>
        <w:tc>
          <w:tcPr>
            <w:tcW w:w="5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231,132</w:t>
            </w:r>
          </w:p>
        </w:tc>
      </w:tr>
      <w:tr>
        <w:trPr>
          <w:trHeight w:val="206"/>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44"/>
              <w:spacing w:after="0"/>
              <w:rPr>
                <w:sz w:val="20"/>
                <w:szCs w:val="20"/>
                <w:color w:val="auto"/>
              </w:rPr>
            </w:pPr>
            <w:r>
              <w:rPr>
                <w:rFonts w:ascii="Arial" w:cs="Arial" w:eastAsia="Arial" w:hAnsi="Arial"/>
                <w:sz w:val="16"/>
                <w:szCs w:val="16"/>
                <w:color w:val="auto"/>
              </w:rPr>
              <w:t>305,083</w:t>
            </w:r>
          </w:p>
        </w:tc>
        <w:tc>
          <w:tcPr>
            <w:tcW w:w="900" w:type="dxa"/>
            <w:vAlign w:val="bottom"/>
            <w:shd w:val="clear" w:color="auto" w:fill="CCEEFF"/>
          </w:tcPr>
          <w:p>
            <w:pPr>
              <w:spacing w:after="0"/>
              <w:rPr>
                <w:sz w:val="17"/>
                <w:szCs w:val="17"/>
                <w:color w:val="auto"/>
              </w:rPr>
            </w:pPr>
          </w:p>
        </w:tc>
        <w:tc>
          <w:tcPr>
            <w:tcW w:w="208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rPr>
              <w:t>302,055</w:t>
            </w:r>
          </w:p>
        </w:tc>
        <w:tc>
          <w:tcPr>
            <w:tcW w:w="5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345,325</w:t>
            </w:r>
          </w:p>
        </w:tc>
      </w:tr>
      <w:tr>
        <w:trPr>
          <w:trHeight w:val="203"/>
        </w:trPr>
        <w:tc>
          <w:tcPr>
            <w:tcW w:w="4580" w:type="dxa"/>
            <w:vAlign w:val="bottom"/>
          </w:tcPr>
          <w:p>
            <w:pPr>
              <w:spacing w:after="0"/>
              <w:rPr>
                <w:sz w:val="20"/>
                <w:szCs w:val="20"/>
                <w:color w:val="auto"/>
              </w:rPr>
            </w:pPr>
            <w:r>
              <w:rPr>
                <w:rFonts w:ascii="Arial" w:cs="Arial" w:eastAsia="Arial" w:hAnsi="Arial"/>
                <w:sz w:val="16"/>
                <w:szCs w:val="16"/>
                <w:color w:val="auto"/>
              </w:rPr>
              <w:t>Total stockholders’ deficit</w:t>
            </w:r>
          </w:p>
        </w:tc>
        <w:tc>
          <w:tcPr>
            <w:tcW w:w="160" w:type="dxa"/>
            <w:vAlign w:val="bottom"/>
          </w:tcPr>
          <w:p>
            <w:pPr>
              <w:spacing w:after="0"/>
              <w:rPr>
                <w:sz w:val="17"/>
                <w:szCs w:val="17"/>
                <w:color w:val="auto"/>
              </w:rPr>
            </w:pPr>
          </w:p>
        </w:tc>
        <w:tc>
          <w:tcPr>
            <w:tcW w:w="1480" w:type="dxa"/>
            <w:vAlign w:val="bottom"/>
          </w:tcPr>
          <w:p>
            <w:pPr>
              <w:jc w:val="right"/>
              <w:ind w:right="304"/>
              <w:spacing w:after="0"/>
              <w:rPr>
                <w:sz w:val="20"/>
                <w:szCs w:val="20"/>
                <w:color w:val="auto"/>
              </w:rPr>
            </w:pPr>
            <w:r>
              <w:rPr>
                <w:rFonts w:ascii="Arial" w:cs="Arial" w:eastAsia="Arial" w:hAnsi="Arial"/>
                <w:sz w:val="16"/>
                <w:szCs w:val="16"/>
                <w:color w:val="auto"/>
              </w:rPr>
              <w:t>(2,059)</w:t>
            </w:r>
          </w:p>
        </w:tc>
        <w:tc>
          <w:tcPr>
            <w:tcW w:w="900" w:type="dxa"/>
            <w:vAlign w:val="bottom"/>
          </w:tcPr>
          <w:p>
            <w:pPr>
              <w:spacing w:after="0"/>
              <w:rPr>
                <w:sz w:val="17"/>
                <w:szCs w:val="17"/>
                <w:color w:val="auto"/>
              </w:rPr>
            </w:pPr>
          </w:p>
        </w:tc>
        <w:tc>
          <w:tcPr>
            <w:tcW w:w="2080" w:type="dxa"/>
            <w:vAlign w:val="bottom"/>
          </w:tcPr>
          <w:p>
            <w:pPr>
              <w:jc w:val="right"/>
              <w:ind w:right="824"/>
              <w:spacing w:after="0"/>
              <w:rPr>
                <w:sz w:val="20"/>
                <w:szCs w:val="20"/>
                <w:color w:val="auto"/>
              </w:rPr>
            </w:pPr>
            <w:r>
              <w:rPr>
                <w:rFonts w:ascii="Arial" w:cs="Arial" w:eastAsia="Arial" w:hAnsi="Arial"/>
                <w:sz w:val="16"/>
                <w:szCs w:val="16"/>
                <w:color w:val="auto"/>
              </w:rPr>
              <w:t>(31,332)</w:t>
            </w:r>
          </w:p>
        </w:tc>
        <w:tc>
          <w:tcPr>
            <w:tcW w:w="5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(121,096)</w:t>
            </w:r>
          </w:p>
        </w:tc>
      </w:tr>
      <w:tr>
        <w:trPr>
          <w:trHeight w:val="203"/>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44"/>
              <w:spacing w:after="0"/>
              <w:rPr>
                <w:sz w:val="20"/>
                <w:szCs w:val="20"/>
                <w:color w:val="auto"/>
              </w:rPr>
            </w:pPr>
            <w:r>
              <w:rPr>
                <w:rFonts w:ascii="Arial" w:cs="Arial" w:eastAsia="Arial" w:hAnsi="Arial"/>
                <w:sz w:val="16"/>
                <w:szCs w:val="16"/>
                <w:color w:val="auto"/>
              </w:rPr>
              <w:t>303,024</w:t>
            </w:r>
          </w:p>
        </w:tc>
        <w:tc>
          <w:tcPr>
            <w:tcW w:w="900" w:type="dxa"/>
            <w:vAlign w:val="bottom"/>
            <w:shd w:val="clear" w:color="auto" w:fill="CCEEFF"/>
          </w:tcPr>
          <w:p>
            <w:pPr>
              <w:spacing w:after="0"/>
              <w:rPr>
                <w:sz w:val="17"/>
                <w:szCs w:val="17"/>
                <w:color w:val="auto"/>
              </w:rPr>
            </w:pPr>
          </w:p>
        </w:tc>
        <w:tc>
          <w:tcPr>
            <w:tcW w:w="208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rPr>
              <w:t>270,723</w:t>
            </w:r>
          </w:p>
        </w:tc>
        <w:tc>
          <w:tcPr>
            <w:tcW w:w="5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224,229</w:t>
            </w:r>
          </w:p>
        </w:tc>
      </w:tr>
      <w:tr>
        <w:trPr>
          <w:trHeight w:val="365"/>
        </w:trPr>
        <w:tc>
          <w:tcPr>
            <w:tcW w:w="4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864"/>
              <w:spacing w:after="0"/>
              <w:rPr>
                <w:sz w:val="20"/>
                <w:szCs w:val="20"/>
                <w:color w:val="auto"/>
              </w:rPr>
            </w:pPr>
            <w:r>
              <w:rPr>
                <w:rFonts w:ascii="Arial" w:cs="Arial" w:eastAsia="Arial" w:hAnsi="Arial"/>
                <w:sz w:val="14"/>
                <w:szCs w:val="14"/>
                <w:b w:val="1"/>
                <w:bCs w:val="1"/>
                <w:color w:val="auto"/>
                <w:w w:val="92"/>
              </w:rPr>
              <w:t>Fiscal Year Ended</w:t>
            </w:r>
          </w:p>
        </w:tc>
        <w:tc>
          <w:tcPr>
            <w:tcW w:w="5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19"/>
        </w:trPr>
        <w:tc>
          <w:tcPr>
            <w:tcW w:w="4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jc w:val="center"/>
              <w:ind w:right="504"/>
              <w:spacing w:after="0" w:line="119" w:lineRule="exact"/>
              <w:rPr>
                <w:sz w:val="20"/>
                <w:szCs w:val="20"/>
                <w:color w:val="auto"/>
              </w:rPr>
            </w:pPr>
            <w:r>
              <w:rPr>
                <w:rFonts w:ascii="Arial" w:cs="Arial" w:eastAsia="Arial" w:hAnsi="Arial"/>
                <w:sz w:val="13"/>
                <w:szCs w:val="13"/>
                <w:b w:val="1"/>
                <w:bCs w:val="1"/>
                <w:color w:val="auto"/>
              </w:rPr>
              <w:t>January 30,</w:t>
            </w:r>
          </w:p>
        </w:tc>
        <w:tc>
          <w:tcPr>
            <w:tcW w:w="900" w:type="dxa"/>
            <w:vAlign w:val="bottom"/>
          </w:tcPr>
          <w:p>
            <w:pPr>
              <w:spacing w:after="0"/>
              <w:rPr>
                <w:sz w:val="10"/>
                <w:szCs w:val="10"/>
                <w:color w:val="auto"/>
              </w:rPr>
            </w:pPr>
          </w:p>
        </w:tc>
        <w:tc>
          <w:tcPr>
            <w:tcW w:w="2080" w:type="dxa"/>
            <w:vAlign w:val="bottom"/>
          </w:tcPr>
          <w:p>
            <w:pPr>
              <w:jc w:val="center"/>
              <w:ind w:right="964"/>
              <w:spacing w:after="0" w:line="119" w:lineRule="exact"/>
              <w:rPr>
                <w:sz w:val="20"/>
                <w:szCs w:val="20"/>
                <w:color w:val="auto"/>
              </w:rPr>
            </w:pPr>
            <w:r>
              <w:rPr>
                <w:rFonts w:ascii="Arial" w:cs="Arial" w:eastAsia="Arial" w:hAnsi="Arial"/>
                <w:sz w:val="13"/>
                <w:szCs w:val="13"/>
                <w:b w:val="1"/>
                <w:bCs w:val="1"/>
                <w:color w:val="auto"/>
              </w:rPr>
              <w:t>January 31,</w:t>
            </w:r>
          </w:p>
        </w:tc>
        <w:tc>
          <w:tcPr>
            <w:tcW w:w="540" w:type="dxa"/>
            <w:vAlign w:val="bottom"/>
          </w:tcPr>
          <w:p>
            <w:pPr>
              <w:spacing w:after="0"/>
              <w:rPr>
                <w:sz w:val="10"/>
                <w:szCs w:val="10"/>
                <w:color w:val="auto"/>
              </w:rPr>
            </w:pPr>
          </w:p>
        </w:tc>
        <w:tc>
          <w:tcPr>
            <w:tcW w:w="1080" w:type="dxa"/>
            <w:vAlign w:val="bottom"/>
          </w:tcPr>
          <w:p>
            <w:pPr>
              <w:jc w:val="center"/>
              <w:ind w:right="84"/>
              <w:spacing w:after="0" w:line="119" w:lineRule="exact"/>
              <w:rPr>
                <w:sz w:val="20"/>
                <w:szCs w:val="20"/>
                <w:color w:val="auto"/>
              </w:rPr>
            </w:pPr>
            <w:r>
              <w:rPr>
                <w:rFonts w:ascii="Arial" w:cs="Arial" w:eastAsia="Arial" w:hAnsi="Arial"/>
                <w:sz w:val="13"/>
                <w:szCs w:val="13"/>
                <w:b w:val="1"/>
                <w:bCs w:val="1"/>
                <w:color w:val="auto"/>
              </w:rPr>
              <w:t>February 1,</w:t>
            </w:r>
          </w:p>
        </w:tc>
        <w:tc>
          <w:tcPr>
            <w:tcW w:w="240" w:type="dxa"/>
            <w:vAlign w:val="bottom"/>
          </w:tcPr>
          <w:p>
            <w:pPr>
              <w:spacing w:after="0"/>
              <w:rPr>
                <w:sz w:val="10"/>
                <w:szCs w:val="10"/>
                <w:color w:val="auto"/>
              </w:rPr>
            </w:pPr>
          </w:p>
        </w:tc>
      </w:tr>
      <w:tr>
        <w:trPr>
          <w:trHeight w:val="178"/>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504"/>
              <w:spacing w:after="0"/>
              <w:rPr>
                <w:sz w:val="20"/>
                <w:szCs w:val="20"/>
                <w:color w:val="auto"/>
              </w:rPr>
            </w:pPr>
            <w:r>
              <w:rPr>
                <w:rFonts w:ascii="Arial" w:cs="Arial" w:eastAsia="Arial" w:hAnsi="Arial"/>
                <w:sz w:val="14"/>
                <w:szCs w:val="14"/>
                <w:b w:val="1"/>
                <w:bCs w:val="1"/>
                <w:color w:val="auto"/>
                <w:w w:val="96"/>
              </w:rPr>
              <w:t>2016</w:t>
            </w:r>
          </w:p>
        </w:tc>
        <w:tc>
          <w:tcPr>
            <w:tcW w:w="900" w:type="dxa"/>
            <w:vAlign w:val="bottom"/>
          </w:tcPr>
          <w:p>
            <w:pPr>
              <w:spacing w:after="0"/>
              <w:rPr>
                <w:sz w:val="15"/>
                <w:szCs w:val="15"/>
                <w:color w:val="auto"/>
              </w:rPr>
            </w:pPr>
          </w:p>
        </w:tc>
        <w:tc>
          <w:tcPr>
            <w:tcW w:w="2080" w:type="dxa"/>
            <w:vAlign w:val="bottom"/>
          </w:tcPr>
          <w:p>
            <w:pPr>
              <w:jc w:val="center"/>
              <w:ind w:right="964"/>
              <w:spacing w:after="0"/>
              <w:rPr>
                <w:sz w:val="20"/>
                <w:szCs w:val="20"/>
                <w:color w:val="auto"/>
              </w:rPr>
            </w:pPr>
            <w:r>
              <w:rPr>
                <w:rFonts w:ascii="Arial" w:cs="Arial" w:eastAsia="Arial" w:hAnsi="Arial"/>
                <w:sz w:val="14"/>
                <w:szCs w:val="14"/>
                <w:b w:val="1"/>
                <w:bCs w:val="1"/>
                <w:color w:val="auto"/>
                <w:w w:val="89"/>
              </w:rPr>
              <w:t>2015</w:t>
            </w:r>
          </w:p>
        </w:tc>
        <w:tc>
          <w:tcPr>
            <w:tcW w:w="540" w:type="dxa"/>
            <w:vAlign w:val="bottom"/>
          </w:tcPr>
          <w:p>
            <w:pPr>
              <w:spacing w:after="0"/>
              <w:rPr>
                <w:sz w:val="15"/>
                <w:szCs w:val="15"/>
                <w:color w:val="auto"/>
              </w:rPr>
            </w:pPr>
          </w:p>
        </w:tc>
        <w:tc>
          <w:tcPr>
            <w:tcW w:w="108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2014</w:t>
            </w:r>
          </w:p>
        </w:tc>
        <w:tc>
          <w:tcPr>
            <w:tcW w:w="240" w:type="dxa"/>
            <w:vAlign w:val="bottom"/>
          </w:tcPr>
          <w:p>
            <w:pPr>
              <w:spacing w:after="0"/>
              <w:rPr>
                <w:sz w:val="15"/>
                <w:szCs w:val="15"/>
                <w:color w:val="auto"/>
              </w:rPr>
            </w:pPr>
          </w:p>
        </w:tc>
      </w:tr>
    </w:tbl>
    <w:p>
      <w:pPr>
        <w:ind w:left="5660"/>
        <w:spacing w:after="0" w:line="231" w:lineRule="auto"/>
        <w:rPr>
          <w:sz w:val="20"/>
          <w:szCs w:val="20"/>
          <w:color w:val="auto"/>
        </w:rPr>
      </w:pPr>
      <w:r>
        <w:rPr>
          <w:rFonts w:ascii="Arial" w:cs="Arial" w:eastAsia="Arial" w:hAnsi="Arial"/>
          <w:sz w:val="14"/>
          <w:szCs w:val="14"/>
          <w:b w:val="1"/>
          <w:bCs w:val="1"/>
          <w:color w:val="auto"/>
        </w:rPr>
        <w:t>(in thousands, except percentages, number of stores and square feet data)</w:t>
      </w:r>
    </w:p>
    <w:p>
      <w:pPr>
        <w:spacing w:after="0" w:line="19"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3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Data:</w:t>
            </w:r>
          </w:p>
        </w:tc>
        <w:tc>
          <w:tcPr>
            <w:tcW w:w="1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3"/>
        </w:trPr>
        <w:tc>
          <w:tcPr>
            <w:tcW w:w="3600" w:type="dxa"/>
            <w:vAlign w:val="bottom"/>
          </w:tcPr>
          <w:p>
            <w:pPr>
              <w:spacing w:after="0"/>
              <w:rPr>
                <w:sz w:val="20"/>
                <w:szCs w:val="20"/>
                <w:color w:val="auto"/>
              </w:rPr>
            </w:pPr>
            <w:r>
              <w:rPr>
                <w:rFonts w:ascii="Arial" w:cs="Arial" w:eastAsia="Arial" w:hAnsi="Arial"/>
                <w:sz w:val="16"/>
                <w:szCs w:val="16"/>
                <w:color w:val="auto"/>
              </w:rPr>
              <w:t>Adjusted EBITDA(2)</w:t>
            </w:r>
          </w:p>
        </w:tc>
        <w:tc>
          <w:tcPr>
            <w:tcW w:w="13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599"/>
              <w:spacing w:after="0"/>
              <w:rPr>
                <w:sz w:val="20"/>
                <w:szCs w:val="20"/>
                <w:color w:val="auto"/>
              </w:rPr>
            </w:pPr>
            <w:r>
              <w:rPr>
                <w:rFonts w:ascii="Arial" w:cs="Arial" w:eastAsia="Arial" w:hAnsi="Arial"/>
                <w:sz w:val="16"/>
                <w:szCs w:val="16"/>
                <w:color w:val="auto"/>
              </w:rPr>
              <w:t>73,024</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659"/>
              <w:spacing w:after="0"/>
              <w:rPr>
                <w:sz w:val="20"/>
                <w:szCs w:val="20"/>
                <w:color w:val="auto"/>
              </w:rPr>
            </w:pPr>
            <w:r>
              <w:rPr>
                <w:rFonts w:ascii="Arial" w:cs="Arial" w:eastAsia="Arial" w:hAnsi="Arial"/>
                <w:sz w:val="16"/>
                <w:szCs w:val="16"/>
                <w:color w:val="auto"/>
              </w:rPr>
              <w:t>66,252</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70,716</w:t>
            </w:r>
          </w:p>
        </w:tc>
      </w:tr>
      <w:tr>
        <w:trPr>
          <w:trHeight w:val="203"/>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Adjusted EBITDA margin(2)</w:t>
            </w:r>
          </w:p>
        </w:tc>
        <w:tc>
          <w:tcPr>
            <w:tcW w:w="1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10.0%</w:t>
            </w:r>
          </w:p>
        </w:tc>
        <w:tc>
          <w:tcPr>
            <w:tcW w:w="8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r>
      <w:tr>
        <w:trPr>
          <w:trHeight w:val="203"/>
        </w:trPr>
        <w:tc>
          <w:tcPr>
            <w:tcW w:w="3600" w:type="dxa"/>
            <w:vAlign w:val="bottom"/>
          </w:tcPr>
          <w:p>
            <w:pPr>
              <w:spacing w:after="0"/>
              <w:rPr>
                <w:sz w:val="20"/>
                <w:szCs w:val="20"/>
                <w:color w:val="auto"/>
              </w:rPr>
            </w:pPr>
            <w:r>
              <w:rPr>
                <w:rFonts w:ascii="Arial" w:cs="Arial" w:eastAsia="Arial" w:hAnsi="Arial"/>
                <w:sz w:val="16"/>
                <w:szCs w:val="16"/>
                <w:color w:val="auto"/>
              </w:rPr>
              <w:t>Number of stores open at end of period</w:t>
            </w:r>
          </w:p>
        </w:tc>
        <w:tc>
          <w:tcPr>
            <w:tcW w:w="1300" w:type="dxa"/>
            <w:vAlign w:val="bottom"/>
          </w:tcPr>
          <w:p>
            <w:pPr>
              <w:spacing w:after="0"/>
              <w:rPr>
                <w:sz w:val="17"/>
                <w:szCs w:val="17"/>
                <w:color w:val="auto"/>
              </w:rPr>
            </w:pPr>
          </w:p>
        </w:tc>
        <w:tc>
          <w:tcPr>
            <w:tcW w:w="1580" w:type="dxa"/>
            <w:vAlign w:val="bottom"/>
          </w:tcPr>
          <w:p>
            <w:pPr>
              <w:jc w:val="right"/>
              <w:ind w:right="599"/>
              <w:spacing w:after="0"/>
              <w:rPr>
                <w:sz w:val="20"/>
                <w:szCs w:val="20"/>
                <w:color w:val="auto"/>
              </w:rPr>
            </w:pPr>
            <w:r>
              <w:rPr>
                <w:rFonts w:ascii="Arial" w:cs="Arial" w:eastAsia="Arial" w:hAnsi="Arial"/>
                <w:sz w:val="16"/>
                <w:szCs w:val="16"/>
                <w:color w:val="auto"/>
              </w:rPr>
              <w:t>64</w:t>
            </w:r>
          </w:p>
        </w:tc>
        <w:tc>
          <w:tcPr>
            <w:tcW w:w="880" w:type="dxa"/>
            <w:vAlign w:val="bottom"/>
          </w:tcPr>
          <w:p>
            <w:pPr>
              <w:spacing w:after="0"/>
              <w:rPr>
                <w:sz w:val="17"/>
                <w:szCs w:val="17"/>
                <w:color w:val="auto"/>
              </w:rPr>
            </w:pPr>
          </w:p>
        </w:tc>
        <w:tc>
          <w:tcPr>
            <w:tcW w:w="1640" w:type="dxa"/>
            <w:vAlign w:val="bottom"/>
          </w:tcPr>
          <w:p>
            <w:pPr>
              <w:jc w:val="right"/>
              <w:ind w:right="659"/>
              <w:spacing w:after="0"/>
              <w:rPr>
                <w:sz w:val="20"/>
                <w:szCs w:val="20"/>
                <w:color w:val="auto"/>
              </w:rPr>
            </w:pPr>
            <w:r>
              <w:rPr>
                <w:rFonts w:ascii="Arial" w:cs="Arial" w:eastAsia="Arial" w:hAnsi="Arial"/>
                <w:sz w:val="16"/>
                <w:szCs w:val="16"/>
                <w:color w:val="auto"/>
              </w:rPr>
              <w:t>55</w:t>
            </w:r>
          </w:p>
        </w:tc>
        <w:tc>
          <w:tcPr>
            <w:tcW w:w="920" w:type="dxa"/>
            <w:vAlign w:val="bottom"/>
          </w:tcPr>
          <w:p>
            <w:pPr>
              <w:spacing w:after="0"/>
              <w:rPr>
                <w:sz w:val="17"/>
                <w:szCs w:val="17"/>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47</w:t>
            </w:r>
          </w:p>
        </w:tc>
      </w:tr>
      <w:tr>
        <w:trPr>
          <w:trHeight w:val="203"/>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Total selling square feet at end of period</w:t>
            </w:r>
          </w:p>
        </w:tc>
        <w:tc>
          <w:tcPr>
            <w:tcW w:w="1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2,122,032</w:t>
            </w:r>
          </w:p>
        </w:tc>
        <w:tc>
          <w:tcPr>
            <w:tcW w:w="8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1,936,085</w:t>
            </w: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1,668,227</w:t>
            </w:r>
          </w:p>
        </w:tc>
      </w:tr>
      <w:tr>
        <w:trPr>
          <w:trHeight w:val="206"/>
        </w:trPr>
        <w:tc>
          <w:tcPr>
            <w:tcW w:w="3600" w:type="dxa"/>
            <w:vAlign w:val="bottom"/>
          </w:tcPr>
          <w:p>
            <w:pPr>
              <w:spacing w:after="0"/>
              <w:rPr>
                <w:sz w:val="20"/>
                <w:szCs w:val="20"/>
                <w:color w:val="auto"/>
              </w:rPr>
            </w:pPr>
            <w:r>
              <w:rPr>
                <w:rFonts w:ascii="Arial" w:cs="Arial" w:eastAsia="Arial" w:hAnsi="Arial"/>
                <w:sz w:val="16"/>
                <w:szCs w:val="16"/>
                <w:color w:val="auto"/>
              </w:rPr>
              <w:t>Same store sales growth for period(3)</w:t>
            </w:r>
          </w:p>
        </w:tc>
        <w:tc>
          <w:tcPr>
            <w:tcW w:w="1300" w:type="dxa"/>
            <w:vAlign w:val="bottom"/>
          </w:tcPr>
          <w:p>
            <w:pPr>
              <w:spacing w:after="0"/>
              <w:rPr>
                <w:sz w:val="17"/>
                <w:szCs w:val="17"/>
                <w:color w:val="auto"/>
              </w:rPr>
            </w:pPr>
          </w:p>
        </w:tc>
        <w:tc>
          <w:tcPr>
            <w:tcW w:w="1580" w:type="dxa"/>
            <w:vAlign w:val="bottom"/>
          </w:tcPr>
          <w:p>
            <w:pPr>
              <w:jc w:val="right"/>
              <w:ind w:right="459"/>
              <w:spacing w:after="0"/>
              <w:rPr>
                <w:sz w:val="20"/>
                <w:szCs w:val="20"/>
                <w:color w:val="auto"/>
              </w:rPr>
            </w:pPr>
            <w:r>
              <w:rPr>
                <w:rFonts w:ascii="Arial" w:cs="Arial" w:eastAsia="Arial" w:hAnsi="Arial"/>
                <w:sz w:val="16"/>
                <w:szCs w:val="16"/>
                <w:color w:val="auto"/>
              </w:rPr>
              <w:t>1.1%</w:t>
            </w:r>
          </w:p>
        </w:tc>
        <w:tc>
          <w:tcPr>
            <w:tcW w:w="880" w:type="dxa"/>
            <w:vAlign w:val="bottom"/>
          </w:tcPr>
          <w:p>
            <w:pPr>
              <w:spacing w:after="0"/>
              <w:rPr>
                <w:sz w:val="17"/>
                <w:szCs w:val="17"/>
                <w:color w:val="auto"/>
              </w:rPr>
            </w:pPr>
          </w:p>
        </w:tc>
        <w:tc>
          <w:tcPr>
            <w:tcW w:w="1640" w:type="dxa"/>
            <w:vAlign w:val="bottom"/>
          </w:tcPr>
          <w:p>
            <w:pPr>
              <w:jc w:val="right"/>
              <w:ind w:right="479"/>
              <w:spacing w:after="0"/>
              <w:rPr>
                <w:sz w:val="20"/>
                <w:szCs w:val="20"/>
                <w:color w:val="auto"/>
              </w:rPr>
            </w:pPr>
            <w:r>
              <w:rPr>
                <w:rFonts w:ascii="Arial" w:cs="Arial" w:eastAsia="Arial" w:hAnsi="Arial"/>
                <w:sz w:val="16"/>
                <w:szCs w:val="16"/>
                <w:color w:val="auto"/>
              </w:rPr>
              <w:t>(8.4%)</w:t>
            </w:r>
          </w:p>
        </w:tc>
        <w:tc>
          <w:tcPr>
            <w:tcW w:w="9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r>
    </w:tbl>
    <w:p>
      <w:pPr>
        <w:spacing w:after="0" w:line="175" w:lineRule="exact"/>
        <w:rPr>
          <w:sz w:val="20"/>
          <w:szCs w:val="20"/>
          <w:color w:val="auto"/>
        </w:rPr>
      </w:pPr>
    </w:p>
    <w:p>
      <w:pPr>
        <w:ind w:left="520" w:right="80" w:hanging="323"/>
        <w:spacing w:after="0" w:line="302"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On March 21, 2009, Sportsman’s Warehouse Holdings, Inc. and its subsidiaries filed voluntary petitions for relief under Chapter 11 of the United States Bankruptcy Code, seeking to reorganize the business under the provisions of the Bankruptcy Code. The plan of reorganization under the Bankruptcy Code was confirmed by the United States Bankruptcy Court for the District of Delaware on July 30, 2009 and became effective when all material conditions of the plan of reorganization were satisfied on August 14, 2009. We incurred certain costs related to our restructuring and emergence from Chapter 11 bankruptcy and included a liability as part of the reorganization value at August 14, 2009, the date of emergence from bankruptcy. Bankruptcy-related expenses are those amounts that are greater than the initial estimated restructuring costs, whereas bankruptcy-related benefits are those amounts that are less than the initial estimated costs. They are expensed as incurred.</w:t>
      </w:r>
    </w:p>
    <w:p>
      <w:pPr>
        <w:spacing w:after="0" w:line="3" w:lineRule="exact"/>
        <w:rPr>
          <w:rFonts w:ascii="Arial" w:cs="Arial" w:eastAsia="Arial" w:hAnsi="Arial"/>
          <w:sz w:val="14"/>
          <w:szCs w:val="14"/>
          <w:color w:val="auto"/>
        </w:rPr>
      </w:pPr>
    </w:p>
    <w:p>
      <w:pPr>
        <w:ind w:left="520" w:right="100" w:hanging="323"/>
        <w:spacing w:after="0" w:line="295" w:lineRule="auto"/>
        <w:tabs>
          <w:tab w:leader="none" w:pos="520" w:val="left"/>
        </w:tabs>
        <w:numPr>
          <w:ilvl w:val="0"/>
          <w:numId w:val="7"/>
        </w:numPr>
        <w:rPr>
          <w:rFonts w:ascii="Arial" w:cs="Arial" w:eastAsia="Arial" w:hAnsi="Arial"/>
          <w:sz w:val="15"/>
          <w:szCs w:val="15"/>
          <w:color w:val="auto"/>
        </w:rPr>
      </w:pPr>
      <w:r>
        <w:rPr>
          <w:rFonts w:ascii="Arial" w:cs="Arial" w:eastAsia="Arial" w:hAnsi="Arial"/>
          <w:sz w:val="15"/>
          <w:szCs w:val="15"/>
          <w:color w:val="auto"/>
        </w:rPr>
        <w:t>Adjusted EBITDA has been presented in this prospectus supplement as a supplemental measure of financial performance that is not required by, or presented in accordance with, generally accepted accounting principles (“GAAP”). We define Adjusted EBITDA as net income plus interest expense, income tax expense, depreciation and amortization, stock-based compensation expense, pre-opening expenses, and other gains, losses, and expenses that we do not believe are indicative of our ongoing expenses. Adjusted EBITDA margin means, for any period, the Adjusted EBITDA for that period divided by the net sales for that period.</w:t>
      </w:r>
    </w:p>
    <w:p>
      <w:pPr>
        <w:spacing w:after="0" w:line="66" w:lineRule="exact"/>
        <w:rPr>
          <w:rFonts w:ascii="Arial" w:cs="Arial" w:eastAsia="Arial" w:hAnsi="Arial"/>
          <w:sz w:val="15"/>
          <w:szCs w:val="15"/>
          <w:color w:val="auto"/>
        </w:rPr>
      </w:pPr>
    </w:p>
    <w:p>
      <w:pPr>
        <w:ind w:left="520"/>
        <w:spacing w:after="0" w:line="324" w:lineRule="auto"/>
        <w:rPr>
          <w:rFonts w:ascii="Arial" w:cs="Arial" w:eastAsia="Arial" w:hAnsi="Arial"/>
          <w:sz w:val="15"/>
          <w:szCs w:val="15"/>
          <w:color w:val="auto"/>
        </w:rPr>
      </w:pPr>
      <w:r>
        <w:rPr>
          <w:rFonts w:ascii="Arial" w:cs="Arial" w:eastAsia="Arial" w:hAnsi="Arial"/>
          <w:sz w:val="14"/>
          <w:szCs w:val="14"/>
          <w:color w:val="auto"/>
        </w:rPr>
        <w:t>Adjusted EBITDA and Adjusted EBITDA margin are included in this prospectus supplement because they are key metrics used by management and our board of directors to assess our financial performance. Adjusted EBITDA and Adjusted EBITDA margin are frequently used by analysts, investors and other interested parties in the evaluation of companies in our industry. In addition to assessing our financial performance, we use Adjusted EBITDA and Adjusted EBITDA margin as additional measurement tools for purposes of business decision-making, including evaluating store performance, developing budgets and managing expenditures.</w:t>
      </w:r>
    </w:p>
    <w:p>
      <w:pPr>
        <w:spacing w:after="0" w:line="48" w:lineRule="exact"/>
        <w:rPr>
          <w:rFonts w:ascii="Arial" w:cs="Arial" w:eastAsia="Arial" w:hAnsi="Arial"/>
          <w:sz w:val="15"/>
          <w:szCs w:val="15"/>
          <w:color w:val="auto"/>
        </w:rPr>
      </w:pPr>
    </w:p>
    <w:p>
      <w:pPr>
        <w:ind w:left="520"/>
        <w:spacing w:after="0" w:line="286" w:lineRule="auto"/>
        <w:rPr>
          <w:rFonts w:ascii="Arial" w:cs="Arial" w:eastAsia="Arial" w:hAnsi="Arial"/>
          <w:sz w:val="15"/>
          <w:szCs w:val="15"/>
          <w:color w:val="auto"/>
        </w:rPr>
      </w:pPr>
      <w:r>
        <w:rPr>
          <w:rFonts w:ascii="Arial" w:cs="Arial" w:eastAsia="Arial" w:hAnsi="Arial"/>
          <w:sz w:val="15"/>
          <w:szCs w:val="15"/>
          <w:color w:val="auto"/>
        </w:rPr>
        <w:t>Adjusted EBITDA is not a GAAP measure of our financial performance or liquidity and should not be considered as an alternative to net income as a measure of financial performance or cash flows from operations as a measure of liquidity, or any other performance measure derived in accordance with GAAP, and it should not be construed as an inference that our future results will be unaffected by unusual or non-recurring items. Additionally, Adjusted EBITDA is not intended to be a measure of free cash flow for management’s discretionary use, as it does not reflect certain cash requirements such as tax payments, debt service requirements, capital expenditures, store openings and certain other cash costs that may recur in the future. Adjusted EBITDA contains certain other limitations, including the failure to reflect our cash expenditures or future requirements for capital expenditures or contractual commitments. In evaluating Adjusted EBITDA, you should be aware that, in the future, we will incur expenses that are the same as or similar to some of the adjustments reflected in this presentation, such as income tax expense (benefit), interest expense, depreciation and amortization and pre-opening expenses. Our presentation of Adjusted EBITDA should not be construed to imply that our future results will be unaffected by any such adjustments. Management compensates for these limitations by relying on our GAAP results in addition to using Adjusted EBITDA supplementally. Our measures of Adjusted EBITDA are not necessarily comparable to other similarly titled captions of other companies due to different methods of calculation.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213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92137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reconciliation of net income to Adjusted EBITDA is set forth below.</w:t>
      </w:r>
    </w:p>
    <w:p>
      <w:pPr>
        <w:spacing w:after="0" w:line="249"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Fiscal Year Ended</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January 30,</w:t>
            </w:r>
          </w:p>
        </w:tc>
        <w:tc>
          <w:tcPr>
            <w:tcW w:w="1700" w:type="dxa"/>
            <w:vAlign w:val="bottom"/>
            <w:gridSpan w:val="4"/>
          </w:tcPr>
          <w:p>
            <w:pPr>
              <w:jc w:val="center"/>
              <w:ind w:right="60"/>
              <w:spacing w:after="0" w:line="119" w:lineRule="exact"/>
              <w:rPr>
                <w:sz w:val="20"/>
                <w:szCs w:val="20"/>
                <w:color w:val="auto"/>
              </w:rPr>
            </w:pPr>
            <w:r>
              <w:rPr>
                <w:rFonts w:ascii="Arial" w:cs="Arial" w:eastAsia="Arial" w:hAnsi="Arial"/>
                <w:sz w:val="13"/>
                <w:szCs w:val="13"/>
                <w:b w:val="1"/>
                <w:bCs w:val="1"/>
                <w:color w:val="auto"/>
              </w:rPr>
              <w:t>January 31,</w:t>
            </w:r>
          </w:p>
        </w:tc>
        <w:tc>
          <w:tcPr>
            <w:tcW w:w="940" w:type="dxa"/>
            <w:vAlign w:val="bottom"/>
            <w:gridSpan w:val="3"/>
          </w:tcPr>
          <w:p>
            <w:pPr>
              <w:ind w:left="200"/>
              <w:spacing w:after="0" w:line="119" w:lineRule="exact"/>
              <w:rPr>
                <w:sz w:val="20"/>
                <w:szCs w:val="20"/>
                <w:color w:val="auto"/>
              </w:rPr>
            </w:pPr>
            <w:r>
              <w:rPr>
                <w:rFonts w:ascii="Arial" w:cs="Arial" w:eastAsia="Arial" w:hAnsi="Arial"/>
                <w:sz w:val="13"/>
                <w:szCs w:val="13"/>
                <w:b w:val="1"/>
                <w:bCs w:val="1"/>
                <w:color w:val="auto"/>
              </w:rPr>
              <w:t>February 1,</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2015</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 of income data:</w:t>
            </w:r>
          </w:p>
        </w:tc>
        <w:tc>
          <w:tcPr>
            <w:tcW w:w="2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6"/>
                <w:szCs w:val="16"/>
                <w:color w:val="auto"/>
              </w:rPr>
              <w:t>Net income</w:t>
            </w:r>
          </w:p>
        </w:tc>
        <w:tc>
          <w:tcPr>
            <w:tcW w:w="2200" w:type="dxa"/>
            <w:vAlign w:val="bottom"/>
            <w:gridSpan w:val="2"/>
          </w:tcPr>
          <w:p>
            <w:pPr>
              <w:ind w:left="20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27,771</w:t>
            </w:r>
          </w:p>
        </w:tc>
        <w:tc>
          <w:tcPr>
            <w:tcW w:w="26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13,784</w:t>
            </w:r>
          </w:p>
        </w:tc>
        <w:tc>
          <w:tcPr>
            <w:tcW w:w="500" w:type="dxa"/>
            <w:vAlign w:val="bottom"/>
          </w:tcPr>
          <w:p>
            <w:pPr>
              <w:spacing w:after="0"/>
              <w:rPr>
                <w:sz w:val="17"/>
                <w:szCs w:val="17"/>
                <w:color w:val="auto"/>
              </w:rPr>
            </w:pPr>
          </w:p>
        </w:tc>
        <w:tc>
          <w:tcPr>
            <w:tcW w:w="3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21,750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14,156</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22,480</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6"/>
                <w:szCs w:val="16"/>
                <w:color w:val="auto"/>
              </w:rPr>
              <w:t>Income tax expense</w:t>
            </w: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17,385</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8,628</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12,838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11,569</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9,150</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6"/>
                <w:szCs w:val="16"/>
                <w:color w:val="auto"/>
              </w:rPr>
              <w:t>Stock-based compensation expense(a)</w:t>
            </w: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2,257</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3,293</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Pre-opening expenses(b)</w:t>
            </w:r>
          </w:p>
        </w:tc>
        <w:tc>
          <w:tcPr>
            <w:tcW w:w="2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6"/>
                <w:szCs w:val="16"/>
                <w:color w:val="auto"/>
              </w:rPr>
              <w:t>IPO bonus(c)</w:t>
            </w: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2,200</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Litigation accrual (reversal)(d)</w:t>
            </w:r>
          </w:p>
        </w:tc>
        <w:tc>
          <w:tcPr>
            <w:tcW w:w="2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(4,000)</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6"/>
                <w:szCs w:val="16"/>
                <w:color w:val="auto"/>
              </w:rPr>
              <w:t>Bankruptcy-related expenses(e)</w:t>
            </w: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Acquisition expenses(f)</w:t>
            </w:r>
          </w:p>
        </w:tc>
        <w:tc>
          <w:tcPr>
            <w:tcW w:w="2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6"/>
                <w:szCs w:val="16"/>
                <w:color w:val="auto"/>
              </w:rPr>
              <w:t>Secondary offering expenses(g)</w:t>
            </w:r>
          </w:p>
        </w:tc>
        <w:tc>
          <w:tcPr>
            <w:tcW w:w="2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2200" w:type="dxa"/>
            <w:vAlign w:val="bottom"/>
            <w:gridSpan w:val="2"/>
            <w:shd w:val="clear" w:color="auto" w:fill="CCEEFF"/>
          </w:tcPr>
          <w:p>
            <w:pPr>
              <w:ind w:left="20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73,024</w:t>
            </w:r>
          </w:p>
        </w:tc>
        <w:tc>
          <w:tcPr>
            <w:tcW w:w="2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66,252</w:t>
            </w:r>
          </w:p>
        </w:tc>
        <w:tc>
          <w:tcPr>
            <w:tcW w:w="5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70,716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6"/>
                <w:szCs w:val="16"/>
                <w:color w:val="auto"/>
              </w:rPr>
              <w:t>Adjusted EBITDA margin</w:t>
            </w:r>
          </w:p>
        </w:tc>
        <w:tc>
          <w:tcPr>
            <w:tcW w:w="2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60" w:type="dxa"/>
            <w:vAlign w:val="bottom"/>
            <w:gridSpan w:val="2"/>
            <w:vMerge w:val="continue"/>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960" w:hanging="439"/>
        <w:spacing w:after="0"/>
        <w:tabs>
          <w:tab w:leader="none" w:pos="960" w:val="left"/>
        </w:tabs>
        <w:numPr>
          <w:ilvl w:val="1"/>
          <w:numId w:val="8"/>
        </w:numPr>
        <w:rPr>
          <w:rFonts w:ascii="Arial" w:cs="Arial" w:eastAsia="Arial" w:hAnsi="Arial"/>
          <w:sz w:val="14"/>
          <w:szCs w:val="14"/>
          <w:color w:val="auto"/>
        </w:rPr>
      </w:pPr>
      <w:r>
        <w:rPr>
          <w:rFonts w:ascii="Arial" w:cs="Arial" w:eastAsia="Arial" w:hAnsi="Arial"/>
          <w:sz w:val="14"/>
          <w:szCs w:val="14"/>
          <w:color w:val="auto"/>
        </w:rPr>
        <w:t>Stock-based compensation expense represents non-cash expenses related to equity instruments granted to employees under our Incentive Plan and ESPP.</w:t>
      </w:r>
    </w:p>
    <w:p>
      <w:pPr>
        <w:spacing w:after="0" w:line="45" w:lineRule="exact"/>
        <w:rPr>
          <w:rFonts w:ascii="Arial" w:cs="Arial" w:eastAsia="Arial" w:hAnsi="Arial"/>
          <w:sz w:val="14"/>
          <w:szCs w:val="14"/>
          <w:color w:val="auto"/>
        </w:rPr>
      </w:pPr>
    </w:p>
    <w:p>
      <w:pPr>
        <w:ind w:left="960" w:right="40" w:hanging="439"/>
        <w:spacing w:after="0" w:line="264" w:lineRule="auto"/>
        <w:tabs>
          <w:tab w:leader="none" w:pos="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Pre-opening expenses include expenses incurred in the preparation and opening of a new store location, such as payroll, travel and supplies, but do not include the cost of the initial inventory or capital expenditures required to open a location.</w:t>
      </w:r>
    </w:p>
    <w:p>
      <w:pPr>
        <w:ind w:left="960" w:right="60" w:hanging="439"/>
        <w:spacing w:after="0" w:line="264" w:lineRule="auto"/>
        <w:tabs>
          <w:tab w:leader="none" w:pos="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As a result of the completion of our IPO and pursuant to the terms of the employment agreements with our executive officers, we paid $2.2 million in bonuses to our executive officers.</w:t>
      </w:r>
    </w:p>
    <w:p>
      <w:pPr>
        <w:ind w:left="960" w:right="120" w:hanging="439"/>
        <w:spacing w:after="0" w:line="301" w:lineRule="auto"/>
        <w:tabs>
          <w:tab w:leader="none" w:pos="960" w:val="left"/>
        </w:tabs>
        <w:numPr>
          <w:ilvl w:val="1"/>
          <w:numId w:val="8"/>
        </w:numPr>
        <w:rPr>
          <w:rFonts w:ascii="Arial" w:cs="Arial" w:eastAsia="Arial" w:hAnsi="Arial"/>
          <w:sz w:val="14"/>
          <w:szCs w:val="14"/>
          <w:color w:val="auto"/>
        </w:rPr>
      </w:pPr>
      <w:r>
        <w:rPr>
          <w:rFonts w:ascii="Arial" w:cs="Arial" w:eastAsia="Arial" w:hAnsi="Arial"/>
          <w:sz w:val="14"/>
          <w:szCs w:val="14"/>
          <w:color w:val="auto"/>
        </w:rPr>
        <w:t>On March 9, 2015, a jury awarded $11.9 million against the defendants in the litigation discussed in Note 18 to our condensed consolidated financial statements included in our Annual Report on Form 10-K for the year ended January 30, 2016, which is incorporated by reference into this prospectus supplement. We reviewed the decision and accrued $4.0 million in our results for the fiscal year and fourth quarter ended January 31, 2015 related to this matter. We strongly disagreed with the jury’s verdict and filed post-trial motions seeking to have the verdict set aside. On July 30, 2015, the court granted our motion for judgment as a matter of law. The plaintiff has appealed the July 30, 2015 ruling to the appellate court and the appeal is currently in process. Based on the court’s most recent judgment in our favor, we determined that the likelihood of loss in this case is not probable, and, as such, we reversed the previous accrual of $4.0 million in our results for the fiscal year ended January 30, 2016. The reversal of the $4.0 million accrual is recorded in selling, general, and administrative expenses in our statements of income, which appear in the documents incorporated by reference in this prospectus supplement.</w:t>
      </w:r>
    </w:p>
    <w:p>
      <w:pPr>
        <w:spacing w:after="0" w:line="5" w:lineRule="exact"/>
        <w:rPr>
          <w:rFonts w:ascii="Arial" w:cs="Arial" w:eastAsia="Arial" w:hAnsi="Arial"/>
          <w:sz w:val="14"/>
          <w:szCs w:val="14"/>
          <w:color w:val="auto"/>
        </w:rPr>
      </w:pPr>
    </w:p>
    <w:p>
      <w:pPr>
        <w:ind w:left="960" w:right="100" w:hanging="439"/>
        <w:spacing w:after="0" w:line="301" w:lineRule="auto"/>
        <w:tabs>
          <w:tab w:leader="none" w:pos="960" w:val="left"/>
        </w:tabs>
        <w:numPr>
          <w:ilvl w:val="1"/>
          <w:numId w:val="8"/>
        </w:numPr>
        <w:rPr>
          <w:rFonts w:ascii="Arial" w:cs="Arial" w:eastAsia="Arial" w:hAnsi="Arial"/>
          <w:sz w:val="14"/>
          <w:szCs w:val="14"/>
          <w:color w:val="auto"/>
        </w:rPr>
      </w:pPr>
      <w:r>
        <w:rPr>
          <w:rFonts w:ascii="Arial" w:cs="Arial" w:eastAsia="Arial" w:hAnsi="Arial"/>
          <w:sz w:val="14"/>
          <w:szCs w:val="14"/>
          <w:color w:val="auto"/>
        </w:rPr>
        <w:t>We incurred certain costs related to our restructuring and emergence from Chapter 11 bankruptcy and included a liability as part of the reorganization value at August 14, 2009, the date of emergence from bankruptcy. Bankruptcy-related expenses are those amounts that are greater than the initial estimated restructuring costs, whereas bankruptcy-related benefits are those amounts that are less than the initial estimated costs. They are expensed as incurred.</w:t>
      </w:r>
    </w:p>
    <w:p>
      <w:pPr>
        <w:spacing w:after="0" w:line="1" w:lineRule="exact"/>
        <w:rPr>
          <w:rFonts w:ascii="Arial" w:cs="Arial" w:eastAsia="Arial" w:hAnsi="Arial"/>
          <w:sz w:val="14"/>
          <w:szCs w:val="14"/>
          <w:color w:val="auto"/>
        </w:rPr>
      </w:pPr>
    </w:p>
    <w:p>
      <w:pPr>
        <w:ind w:left="960" w:right="440" w:hanging="439"/>
        <w:spacing w:after="0" w:line="264" w:lineRule="auto"/>
        <w:tabs>
          <w:tab w:leader="none" w:pos="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Acquisition expenses for fiscal year 2013 relate to the costs associated with the acquisition of our 10 previously operated stores in Montana, Oregon and Washington.</w:t>
      </w:r>
    </w:p>
    <w:p>
      <w:pPr>
        <w:ind w:left="960" w:hanging="439"/>
        <w:spacing w:after="0"/>
        <w:tabs>
          <w:tab w:leader="none" w:pos="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Expenses paid by us in connection with a secondary offering of our common stock by affiliates of Seidler and one of our executive officers.</w:t>
      </w:r>
    </w:p>
    <w:p>
      <w:pPr>
        <w:spacing w:after="0" w:line="136" w:lineRule="exact"/>
        <w:rPr>
          <w:rFonts w:ascii="Arial" w:cs="Arial" w:eastAsia="Arial" w:hAnsi="Arial"/>
          <w:sz w:val="16"/>
          <w:szCs w:val="16"/>
          <w:color w:val="auto"/>
        </w:rPr>
      </w:pPr>
    </w:p>
    <w:p>
      <w:pPr>
        <w:ind w:left="520" w:right="100" w:hanging="323"/>
        <w:spacing w:after="0" w:line="278"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Net sales from a store are included in same store sales on the first day of the 13th full month following the store’s opening or acquisition by us. We exclude net sales from e-commerce from our calculation of same store sales, and for fiscal years consisting of 53 weeks, we exclude net sales during the 53rd week from our calculation of same store sales. The figures shown represent growth over the corresponding period in the prior fiscal year.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80"/>
          </w:cols>
          <w:pgMar w:left="240" w:top="459"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Investing in our common stock involves a high degree of risk. You should carefully consider the following risk factors, as well as other information in this prospectus supplement and the documents incorporated by reference in this prospectus supplement, including the factors discussed under the heading “Risk Factors” in our most recent Annual Report on Form 10-K and each subsequently filed Quarterly Report on Form 10-Q and any risk factors set forth in our other filings with the SEC pursuant to Sections 13(a), 13(c), 14 or 15(d) of the Exchange Act, before deciding whether to invest in shares of our common stock. See “Where You Can Find More Information” and “Information We Incorporate By Reference.” The occurrence of any of the events described below could harm our business, financial condition, results of operations and growth prospects. In such an event, the trading price of our common stock may decline and you may lose all or part of your investment.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Seidler will beneficially own approximately 24.5% of our common stock after this offering, and its interests may conflict with or differ from your interests as a stockholder.</w:t>
      </w:r>
    </w:p>
    <w:p>
      <w:pPr>
        <w:spacing w:after="0" w:line="5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After the completion of this offering, Seidler will beneficially own approximately 24.5% of our common stock (or approximately 22.7% if the underwriters exercise their option to purchase additional shares in full). As a result, Seidler will continue to have significant influence over the election of all of our directors and the approval of significant corporate transactions that require the approval of our board of directors or stockholders, such as mergers and the sale of substantially all of our assets. So long as Seidler continues to own a significant amount of the outstanding shares of our common stock, it will have the ability to exert significant influence over our corporate decisions. Seidler may act in a manner that advances its best interests and not necessarily those of other stockholders, including investors in this offering, by, among other things:</w:t>
      </w:r>
    </w:p>
    <w:p>
      <w:pPr>
        <w:spacing w:after="0" w:line="84"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transaction;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entrenching our management and/or our board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causing us to enter into transactions or agreements that are not in the best interests of all stockholders.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Additionally, Seidler is in the business of making investments in companies and may in the future acquire interests in businesses that directly or indirectly compete with certain portions of our business or our suppliers or customers. Seidler may also pursue acquisitions that may be complementary to our business, and, as a result, those acquisition opportunities may not be available to us.</w:t>
      </w:r>
    </w:p>
    <w:p>
      <w:pPr>
        <w:spacing w:after="0" w:line="18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Seidler and the members of our board of directors who are affiliated with Seidler, by the terms of our certificate of incorporation, are not required to offer us any transaction opportunity of which they become aware and could take any such opportunity for themselves or offer it to other companies in which they have an investment, unless such opportunity is expressly offered to them solely in their capacity as our directors. We, by the terms of our certificate of incorporation, expressly renounce any interest in any such corporate opportunity to the extent permitted under applicable law, even if the opportunity is one that we would reasonably be deemed to have pursued if given the opportunity to do so, unless such opportunity is expressly offered to any director or officer in his or her capacity as our director or officer. Our certificate of incorporation cannot be amended to eliminate our renunciation of any such corporate opportunity arising prior to the date of any such amendment. Seidler or its affiliates may also acquire competing businesses that may not be attractive to us, and have no obligation to refrain from acquiring competing businesses. Any competition could intensify if an affiliate or subsidiary of Seidler were to enter into or acquire a business similar to our specialty retail operations. Seidler or its affiliates may enter into or acquire a competing business in the future.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20"/>
        <w:spacing w:after="0" w:line="313" w:lineRule="auto"/>
        <w:rPr>
          <w:sz w:val="20"/>
          <w:szCs w:val="20"/>
          <w:color w:val="auto"/>
        </w:rPr>
      </w:pPr>
      <w:r>
        <w:rPr>
          <w:rFonts w:ascii="Arial" w:cs="Arial" w:eastAsia="Arial" w:hAnsi="Arial"/>
          <w:sz w:val="17"/>
          <w:szCs w:val="17"/>
          <w:b w:val="1"/>
          <w:bCs w:val="1"/>
          <w:color w:val="auto"/>
        </w:rPr>
        <w:t>Although we are no longer a “controlled company” within the meaning of The NASDAQ Stock Market corporate governance standards, we may continue to rely on exemptions from certain corporate governance requirements during a one-year transition period.</w:t>
      </w:r>
    </w:p>
    <w:p>
      <w:pPr>
        <w:spacing w:after="0" w:line="34"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Affiliates of Seidler no longer control a majority of our outstanding common stock. As a result, we are no longer a “controlled company” within the meaning of The NASDAQ Stock Market corporate governance standards. The NASDAQ Stock Market corporate governance requirements require that:</w:t>
      </w:r>
    </w:p>
    <w:p>
      <w:pPr>
        <w:spacing w:after="0" w:line="29" w:lineRule="exact"/>
        <w:rPr>
          <w:sz w:val="20"/>
          <w:szCs w:val="20"/>
          <w:color w:val="auto"/>
        </w:rPr>
      </w:pPr>
    </w:p>
    <w:p>
      <w:pPr>
        <w:ind w:left="900" w:right="5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as defined under The NASDAQ Stock Market corporate governance standards;</w:t>
      </w:r>
    </w:p>
    <w:p>
      <w:pPr>
        <w:spacing w:after="0" w:line="75" w:lineRule="exact"/>
        <w:rPr>
          <w:rFonts w:ascii="Arial" w:cs="Arial" w:eastAsia="Arial" w:hAnsi="Arial"/>
          <w:sz w:val="18"/>
          <w:szCs w:val="18"/>
          <w:color w:val="auto"/>
        </w:rPr>
      </w:pPr>
    </w:p>
    <w:p>
      <w:pPr>
        <w:ind w:left="900" w:right="320" w:hanging="325"/>
        <w:spacing w:after="0" w:line="286"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director nominees be selected, or recommended for our board of directors’ selection, either (1) by a majority of independent directors in a vote by independent directors, pursuant to a nominations process adopted by a board resolution, or (2) by a nominating and governance committee comprised solely of independent directors with a written charter addressing the nominations process; and</w:t>
      </w:r>
    </w:p>
    <w:p>
      <w:pPr>
        <w:spacing w:after="0" w:line="70" w:lineRule="exact"/>
        <w:rPr>
          <w:rFonts w:ascii="Arial" w:cs="Arial" w:eastAsia="Arial" w:hAnsi="Arial"/>
          <w:sz w:val="17"/>
          <w:szCs w:val="17"/>
          <w:color w:val="auto"/>
        </w:rPr>
      </w:pPr>
    </w:p>
    <w:p>
      <w:pPr>
        <w:ind w:left="900" w:right="20" w:hanging="325"/>
        <w:spacing w:after="0" w:line="308"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compensation of our executive officers be determined, or recommended to the board for determination, by a majority of independent directors in a vote by independent directors, or by a compensation committee comprised solely of independent directors.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Currently, a majority of our board of directors consists of independent directors and we have an audit committee and a compensation committee comprised solely of independent directors. However, our nominating and governance committee is not comprised solely of independent directors. The rules of The NASDAQ Stock Market require that our nominating and governance committee be composed entirely of independent directors within one year of the closing of our secondary public offering in September 2015 (the date we ceased to be a “controlled company”), or by September 30, 2016. During this transition period, however, we could avail ourselves of any of the exemptions described above even if we are not currently relying upon them. Accordingly, during this transition period, you may not have the same protections afforded to stockholders of companies that are subject to all of The NASDAQ Stock Market corporate governance standards.</w:t>
      </w:r>
    </w:p>
    <w:p>
      <w:pPr>
        <w:spacing w:after="0" w:line="293"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Our bylaws and our certificate of incorporation contain, and Delaware law contains, provisions that could discourage another company from acquiring us and may prevent attempts by our stockholders to replace or remove our current management.</w:t>
      </w:r>
    </w:p>
    <w:p>
      <w:pPr>
        <w:spacing w:after="0" w:line="58"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Provisions of Delaware law and our bylaws and amended and restated certificate of incorporation may discourage, delay or prevent a merger or acquisition that stockholders may consider favorable, including transactions in which you might otherwise receive a premium for your shares. In addition, these provisions may frustrate or prevent any attempts by our stockholders to replace or remove our current management by making it more difficult for stockholders to replace or remove our board of directors. These provisions include:</w:t>
      </w:r>
    </w:p>
    <w:p>
      <w:pPr>
        <w:spacing w:after="0" w:line="92"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 classified board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that directors may be removed only for cause;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requiring at least a supermajority vote of our stockholders to amend our bylaws or certain provisions of our certificate of incorporation;</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eliminating the ability of stockholders to call special meetings of stockholders;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on by stockholders at stockholder meetings;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without any need for action by stockholders.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In addition, we will be subject to Section 203 of the Delaware General Corporation Law once Seidler ceases to beneficially own at least 15% of the total voting power of our then-outstanding shares of common stock. In general, subject to some exceptions, Section 203 prohibits a Delaware corporation from engaging in any “business combination” with any “interested stockholder” (which is generally defined as an entity or person who, together with the person’s affiliates and associates, beneficially owns, or within three years prior to the time of determination of interested stockholder status did own, 15% or more of the outstanding voting stock of the corporation), for a three-year period following the date that the stockholder became an interested stockholder. Section 203 could have the effect of delaying, deferring or preventing a change in control that our stockholders might consider to be in their best interests.</w:t>
      </w:r>
    </w:p>
    <w:p>
      <w:pPr>
        <w:spacing w:after="0" w:line="16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Further, our certificate of incorporation provides that, subject to limited exceptions, the Court of Chancery of the State of Delaware will be, to the fullest extent permitted by law, the exclusive forum for any derivative action or proceeding brought on our behalf; any action asserting a breach of fiduciary duty; any action asserting a claim against us arising pursuant to the Delaware General Corporation Law; or any action asserting a claim against us that is governed by the internal affairs doctrine. This exclusive forum provision may limit a stockholder’s ability to bring a claim in a judicial forum that it finds favorable for disputes with us or our directors, officers or other employees and agents, which may discourage such lawsuits against us and our directors, officers, employees and agents.</w:t>
      </w:r>
    </w:p>
    <w:p>
      <w:pPr>
        <w:spacing w:after="0" w:line="19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Together, these charter and statutory provisions could make the removal of management more difficult and may discourage transactions that otherwise could involve payment of a premium over prevailing market prices for our common stock. The existence of the foregoing provisions and anti-takeover measures could limit the price that investors might be willing to pay in the future for shares of our common stock. They could also deter potential acquirers of our company, thereby potentially reducing the likelihood that you could receive a premium for your common stock in an acquisition.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may be volatile and you may be unable to sell your shares at or above the offering price.</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Volatility in the market price of our common stock may prevent you from being able to sell your common stock at or above the price you paid for your common stock. Since the completion of our IPO in April 2014, the price of our stock has ranged from $5.43 to $14.91 per share. The market price for our common stock could fluctuate significantly for various reasons, including:</w:t>
      </w:r>
    </w:p>
    <w:p>
      <w:pPr>
        <w:spacing w:after="0" w:line="87"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 including seasonal fluctuations in our financial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conditions that impact demand for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who track our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growth strategy;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federal and state government regulation;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arrival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common stock by us or members of our management team; and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general market, economic and political conditions in the United States and global economies or financial markets, including those resulting from natural disasters, terrorist attacks, acts of war and responses to such events.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7"/>
          <w:szCs w:val="17"/>
          <w:color w:val="auto"/>
        </w:rPr>
        <w:t>In addition,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that, even if unsuccessful, could be costly to defend and distract our management.</w:t>
      </w:r>
    </w:p>
    <w:p>
      <w:pPr>
        <w:spacing w:after="0" w:line="27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Future sales of our common stock, or the perception in the public markets that these sales may occur, may cause the trading price of our common stock to decline.</w:t>
      </w:r>
    </w:p>
    <w:p>
      <w:pPr>
        <w:spacing w:after="0" w:line="5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If our existing stockholders sell substantial amounts of our common stock in the public market, or are perceived by the public market as intending to sell, the trading price of our common stock could depress the market price of our common stock and could impair our ability to raise capital through the sale of additional equity securities.</w:t>
      </w:r>
    </w:p>
    <w:p>
      <w:pPr>
        <w:spacing w:after="0" w:line="28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are an EGC within the meaning of the JOBS Act, and the reduced reporting requirements applicable to EGCs may make our common stock less attractive to investors.</w:t>
      </w:r>
    </w:p>
    <w:p>
      <w:pPr>
        <w:spacing w:after="0" w:line="5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Because we qualify as an EGC under the JOBS Act, we have elected to comply with some of the reduced disclosure and other reporting requirements available to us as an EGC for a period of up to five years following our initial public offering if we remain an EGC. For example, for as long as we remain an EGC, we are not subject to certain governance requirements, such as holding a “say-on-pay” and “say-on-golden-parachute” advisory votes, we are not required to include a “Compensation Discussion and Analysis” section in our proxy statements and reports filed under the Exchange Act, and we do not need to obtain an annual attestation report on our internal control over financial reporting from a registered public accounting firm pursuant to Section 404(b) of the Sarbanes-Oxley Act. We could be an EGC for a period up to the end of the fifth fiscal year after our IPO, although we will cease to be an EGC earlier than this five-year period if our total annual gross revenues equal or exceed $1 billion in a fiscal year, if we issue more than $1 billion in non-convertible debt over a three-year period or if we become a “large accelerated filer” (which requires, among other things, the market value of our common stock held by non-affiliates to be at least $700 million as of the last business day of our second fiscal quarter of any fiscal year).</w:t>
      </w:r>
    </w:p>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Accordingly, for up to five fiscal years after our IPO, our stockholders may not receive the same level of disclosure that is afforded to stockholders of a non-EGC. It is possible that investors will find our common stock to be less attractive because we have elected to comply with the reduced disclosure and other reporting requirements available to us as an EGC, which could adversely affect the trading market for our common stock and the prices at which stockholders may be able to sell their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requirements of being a public company may strain our resources and divert management’s attention.</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the Dodd-Frank Wall Street Reform and Consumer Protection Act of 2010 and other applicable securities rules and regulations. Compliance with these rules and regulations have increased our legal and financial compliance costs, make some activities more difficult, time-consuming or costly and increase demand on our systems and resources. The Exchange Act requires, among other things, that we file annual, quarterly and current reports with respect to our business and results of operations and proxy or information statements in connection with matters upon which our stockholders may vote. As a result of our public disclosure of information in filings required of a public company, our business and financial condition have become more visible, which could result in threatened or actual litigation, or other adverse actions taken by competitors and other third parties. In addition, our management team has limited experience managing a public company or complying with the increasingly complex laws pertaining to public companies, and a number of our directors have limited experience serving on the boards of public companies. The time and resources necessary to comply with the requirements of being a public company and contend with any action that might be brought against us as a result of publicly available information could divert our resources and the attention of our management and adversely affect our business, financial condition and results of operations.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pay any cash dividends for the foreseeable future.</w:t>
      </w:r>
    </w:p>
    <w:p>
      <w:pPr>
        <w:spacing w:after="0" w:line="12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currently expect to retain all available funds and future earnings, if any, for use in the operation and growth of our business and do not anticipate paying any cash dividends in the foreseeable future. Any future determination to pay dividends will be at the discretion of our board of directors, subject to compliance with applicable law and any contractual provisions, including under the credit agreements governing our term loans and revolving credit facility and agreements governing any additional indebtedness we may incur in the future, that restrict or limit our ability to pay dividends, and will depend upon, among other factors, our results of operations, financial condition, earnings, capital requirements and other factors that our board of directors deems relevant. Further, because we are a holding company, our ability to pay dividends depends on our receipt of cash dividends from our operating subsidiaries, which may further restrict our ability to pay dividends as a result of the laws of their jurisdiction of organization, agreements of our subsidiaries or covenants under our existing or future indebtedness. All of our business operations are conducted through our wholly owned subsidiaries, Sportsman’s Warehouse, Inc. and Minnesota Merchandising Corporation and their subsidiaries. The ability of Sportsman’s Warehouse, Inc. and Minnesota Merchandising Corporation to pay dividends to us, and our ability to pay dividends on our capital stock, is limited by our term loans. Our revolving credit facility also limits our ability to pay dividends on our capital stock. Our ability to pay dividends may also be restricted by the terms of any future credit agreement or any future debt or preferred equity securities of ours or of our subsidiaries. Accordingly, if you purchase shares in this offering, you may not realize any returns on your investment unless the price of our common stock appreciates, which may never occur. Investors seeking cash dividends in the foreseeable future should not purchase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securities or industry analysts publish inaccurate or unfavorable research about us, our stock price and trading volume could decline.</w:t>
      </w:r>
    </w:p>
    <w:p>
      <w:pPr>
        <w:spacing w:after="0" w:line="13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reports that securities or industry analysts publish about us, our business and our industry. Assuming we obtain securities or industry analyst coverage, if one or more of the analysts who cover us downgrade our stock or publish inaccurate or unfavorable research about us, our business or our industry,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will not receive any proceeds from the sale of shares by the selling stockholders. We will bear the costs associated with this registration in accordance with the registration rights agreement. However, the selling stockholders will bear any brokerage commissions, transfer taxes or underwriting commissions and discounts attributable to their sale of shares of our common stock. For more information, see “Selling Stockholders.”</w:t>
      </w:r>
    </w:p>
    <w:p>
      <w:pPr>
        <w:spacing w:after="0" w:line="9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060"/>
          </w:cols>
          <w:pgMar w:left="240" w:top="459" w:right="5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Our common stock has been listed on The NASDAQ Global Select Market under the symbol “SPWH” since April 17, 2014. Prior to that date, there was no public trading market for our common stock. The following table sets forth, for the periods indicated, the high and low sales prices of our common stock as reported by The NASDAQ Global Select Market:</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280" w:type="dxa"/>
            <w:vAlign w:val="bottom"/>
          </w:tcPr>
          <w:p>
            <w:pPr>
              <w:spacing w:after="0"/>
              <w:rPr>
                <w:sz w:val="20"/>
                <w:szCs w:val="20"/>
                <w:color w:val="auto"/>
              </w:rPr>
            </w:pPr>
            <w:r>
              <w:rPr>
                <w:rFonts w:ascii="Arial" w:cs="Arial" w:eastAsia="Arial" w:hAnsi="Arial"/>
                <w:sz w:val="14"/>
                <w:szCs w:val="14"/>
                <w:b w:val="1"/>
                <w:bCs w:val="1"/>
                <w:color w:val="auto"/>
                <w:w w:val="83"/>
              </w:rPr>
              <w:t>2014</w:t>
            </w:r>
          </w:p>
        </w:tc>
        <w:tc>
          <w:tcPr>
            <w:tcW w:w="5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High</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210"/>
        </w:trPr>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4"/>
              </w:rPr>
              <w:t>First</w:t>
            </w:r>
          </w:p>
        </w:tc>
        <w:tc>
          <w:tcPr>
            <w:tcW w:w="51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Quarter of Fiscal 2014 (from April 17, 2014)</w:t>
            </w: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11.00</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Second Quarter of Fiscal 2014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10.14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of Fiscal 2014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Fourth Quarter of Fiscal 2014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8.32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0"/>
                <w:szCs w:val="20"/>
                <w:color w:val="auto"/>
              </w:rPr>
            </w:pPr>
          </w:p>
        </w:tc>
      </w:tr>
      <w:tr>
        <w:trPr>
          <w:trHeight w:val="364"/>
        </w:trPr>
        <w:tc>
          <w:tcPr>
            <w:tcW w:w="280" w:type="dxa"/>
            <w:vAlign w:val="bottom"/>
          </w:tcPr>
          <w:p>
            <w:pPr>
              <w:spacing w:after="0"/>
              <w:rPr>
                <w:sz w:val="20"/>
                <w:szCs w:val="20"/>
                <w:color w:val="auto"/>
              </w:rPr>
            </w:pPr>
            <w:r>
              <w:rPr>
                <w:rFonts w:ascii="Arial" w:cs="Arial" w:eastAsia="Arial" w:hAnsi="Arial"/>
                <w:sz w:val="14"/>
                <w:szCs w:val="14"/>
                <w:b w:val="1"/>
                <w:bCs w:val="1"/>
                <w:color w:val="auto"/>
                <w:w w:val="83"/>
              </w:rPr>
              <w:t>2015</w:t>
            </w:r>
          </w:p>
        </w:tc>
        <w:tc>
          <w:tcPr>
            <w:tcW w:w="5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High</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210"/>
        </w:trPr>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4"/>
              </w:rPr>
              <w:t>First</w:t>
            </w:r>
          </w:p>
        </w:tc>
        <w:tc>
          <w:tcPr>
            <w:tcW w:w="51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Quarter of Fiscal 2015</w:t>
            </w: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Second Quarter of Fiscal 2015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12.88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of Fiscal 2015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14.91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8"/>
                <w:szCs w:val="18"/>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Fourth Quarter of Fiscal 2015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13.78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0"/>
                <w:szCs w:val="20"/>
                <w:color w:val="auto"/>
              </w:rPr>
            </w:pPr>
          </w:p>
        </w:tc>
      </w:tr>
      <w:tr>
        <w:trPr>
          <w:trHeight w:val="364"/>
        </w:trPr>
        <w:tc>
          <w:tcPr>
            <w:tcW w:w="280" w:type="dxa"/>
            <w:vAlign w:val="bottom"/>
          </w:tcPr>
          <w:p>
            <w:pPr>
              <w:spacing w:after="0"/>
              <w:rPr>
                <w:sz w:val="20"/>
                <w:szCs w:val="20"/>
                <w:color w:val="auto"/>
              </w:rPr>
            </w:pPr>
            <w:r>
              <w:rPr>
                <w:rFonts w:ascii="Arial" w:cs="Arial" w:eastAsia="Arial" w:hAnsi="Arial"/>
                <w:sz w:val="14"/>
                <w:szCs w:val="14"/>
                <w:b w:val="1"/>
                <w:bCs w:val="1"/>
                <w:color w:val="auto"/>
                <w:w w:val="83"/>
              </w:rPr>
              <w:t>2016</w:t>
            </w:r>
          </w:p>
        </w:tc>
        <w:tc>
          <w:tcPr>
            <w:tcW w:w="5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High</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210"/>
        </w:trPr>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4"/>
              </w:rPr>
              <w:t>First</w:t>
            </w:r>
          </w:p>
        </w:tc>
        <w:tc>
          <w:tcPr>
            <w:tcW w:w="51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Quarter of Fiscal 2016 (through April 11, 2016)</w:t>
            </w: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14.18</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11.11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April 11, 2016, the last reported sale price on The NASDAQ Global Select Market of our common stock was $12.21 per share. As of March 24, 2016, we had approximately 90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currently expect to retain all available funds and future earnings, if any, for use in the operation and growth of our business and do not anticipate paying any cash dividends in the foreseeable future. Any future determination to pay dividends will be at the discretion of our board of directors, subject to compliance with applicable law and any contractual provisions, including under the credit agreements governing our term loans and revolving credit facility and agreements governing any additional indebtedness we may incur in the future, that restrict or limit our ability to pay dividends, and will depend upon, among other factors, our results of operations, financial condition, earnings, capital requirements and other factors that our board of directors deems relevant. Because we are a holding company, our ability to pay dividends depends on our receipt of cash dividends from our operating subsidiaries, which may further restrict our ability to pay dividends as a result of the laws of their jurisdiction of organization, agreements of our subsidiaries or covenants under our existing or future indebtedness. All of our business operations are conducted through our wholly owned subsidiaries, Sportsman’s Warehouse, Inc. and Minnesota Merchandising Corporation and their subsidiaries. The ability of Sportsman’s Warehouse, Inc. and Minnesota Merchandising Corporation to pay dividends to us, and our ability to pay dividends on our capital stock, is limited by our term loans. Our revolving credit facility also limits our ability to pay dividends on our capital stock. Our ability to pay dividends may also be restricted by the terms of any future credit agreement or any future debt or preferred equity securities of ours or of our subsidiaries.</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below sets forth information regarding the beneficial ownership of shares of our common stock by each of the selling stockholders.</w:t>
      </w:r>
    </w:p>
    <w:p>
      <w:pPr>
        <w:spacing w:after="0" w:line="23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number of shares disclosed in the table below as “beneficially owned” are those beneficially owned as determined under the rules of the SEC. Such information is not necessarily indicative of ownership for any other purpose.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w:t>
      </w:r>
    </w:p>
    <w:p>
      <w:pPr>
        <w:spacing w:after="0" w:line="187" w:lineRule="exact"/>
        <w:rPr>
          <w:sz w:val="20"/>
          <w:szCs w:val="20"/>
          <w:color w:val="auto"/>
        </w:rPr>
      </w:pPr>
    </w:p>
    <w:p>
      <w:pPr>
        <w:jc w:val="both"/>
        <w:ind w:right="380" w:firstLine="456"/>
        <w:spacing w:after="0" w:line="312" w:lineRule="auto"/>
        <w:rPr>
          <w:sz w:val="20"/>
          <w:szCs w:val="20"/>
          <w:color w:val="auto"/>
        </w:rPr>
      </w:pPr>
      <w:r>
        <w:rPr>
          <w:rFonts w:ascii="Arial" w:cs="Arial" w:eastAsia="Arial" w:hAnsi="Arial"/>
          <w:sz w:val="16"/>
          <w:szCs w:val="16"/>
          <w:color w:val="auto"/>
        </w:rPr>
        <w:t>The number of shares of our common stock outstanding and the percentage of beneficial ownership before and after this offering set forth below is based on 42,004,368 shares of our common stock outstanding as of March 24, 2016. Beneficial ownership reflected in the table below includes the total shares held by each selling stockholder and his, her or its affiliates. Beneficial ownership is determined in accordance with the rules of the SEC.</w:t>
      </w:r>
    </w:p>
    <w:p>
      <w:pPr>
        <w:spacing w:after="0" w:line="14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For information about certain relationships between us and the selling stockholders, see “Certain Relationships and Related Party Transactions with Selling Stockholders” in the prospectus.</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Unless otherwise indicated and subject to applicable community property laws, to our knowledge, each stockholder named in the following table possesses sole voting and investment power over the shares listed.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Shares of Common</w:t>
            </w:r>
          </w:p>
        </w:tc>
        <w:tc>
          <w:tcPr>
            <w:tcW w:w="170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1"/>
              </w:rPr>
              <w:t>Shares of Common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left="385"/>
              <w:spacing w:after="0" w:line="149" w:lineRule="exact"/>
              <w:rPr>
                <w:sz w:val="20"/>
                <w:szCs w:val="20"/>
                <w:color w:val="auto"/>
              </w:rPr>
            </w:pPr>
            <w:r>
              <w:rPr>
                <w:rFonts w:ascii="Arial" w:cs="Arial" w:eastAsia="Arial" w:hAnsi="Arial"/>
                <w:sz w:val="14"/>
                <w:szCs w:val="14"/>
                <w:b w:val="1"/>
                <w:bCs w:val="1"/>
                <w:color w:val="auto"/>
                <w:w w:val="89"/>
              </w:rPr>
              <w:t>Stock</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17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After This Offering</w:t>
            </w:r>
          </w:p>
        </w:tc>
        <w:tc>
          <w:tcPr>
            <w:tcW w:w="17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Owned After This</w:t>
            </w:r>
          </w:p>
        </w:tc>
        <w:tc>
          <w:tcPr>
            <w:tcW w:w="0" w:type="dxa"/>
            <w:vAlign w:val="bottom"/>
          </w:tcPr>
          <w:p>
            <w:pPr>
              <w:spacing w:after="0"/>
              <w:rPr>
                <w:sz w:val="1"/>
                <w:szCs w:val="1"/>
                <w:color w:val="auto"/>
              </w:rPr>
            </w:pPr>
          </w:p>
        </w:tc>
      </w:tr>
      <w:tr>
        <w:trPr>
          <w:trHeight w:val="158"/>
        </w:trPr>
        <w:tc>
          <w:tcPr>
            <w:tcW w:w="3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260" w:type="dxa"/>
            <w:vAlign w:val="bottom"/>
            <w:gridSpan w:val="4"/>
          </w:tcPr>
          <w:p>
            <w:pPr>
              <w:jc w:val="center"/>
              <w:ind w:right="400"/>
              <w:spacing w:after="0" w:line="158" w:lineRule="exact"/>
              <w:rPr>
                <w:sz w:val="20"/>
                <w:szCs w:val="20"/>
                <w:color w:val="auto"/>
              </w:rPr>
            </w:pPr>
            <w:r>
              <w:rPr>
                <w:rFonts w:ascii="Arial" w:cs="Arial" w:eastAsia="Arial" w:hAnsi="Arial"/>
                <w:sz w:val="14"/>
                <w:szCs w:val="14"/>
                <w:b w:val="1"/>
                <w:bCs w:val="1"/>
                <w:color w:val="auto"/>
                <w:w w:val="90"/>
              </w:rPr>
              <w:t>Shares of Common Stock</w:t>
            </w:r>
          </w:p>
        </w:tc>
        <w:tc>
          <w:tcPr>
            <w:tcW w:w="104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Shares of</w:t>
            </w:r>
          </w:p>
        </w:tc>
        <w:tc>
          <w:tcPr>
            <w:tcW w:w="1900" w:type="dxa"/>
            <w:vAlign w:val="bottom"/>
            <w:gridSpan w:val="4"/>
          </w:tcPr>
          <w:p>
            <w:pPr>
              <w:jc w:val="center"/>
              <w:ind w:right="400"/>
              <w:spacing w:after="0" w:line="158" w:lineRule="exact"/>
              <w:rPr>
                <w:sz w:val="20"/>
                <w:szCs w:val="20"/>
                <w:color w:val="auto"/>
              </w:rPr>
            </w:pPr>
            <w:r>
              <w:rPr>
                <w:rFonts w:ascii="Arial" w:cs="Arial" w:eastAsia="Arial" w:hAnsi="Arial"/>
                <w:sz w:val="14"/>
                <w:szCs w:val="14"/>
                <w:b w:val="1"/>
                <w:bCs w:val="1"/>
                <w:color w:val="auto"/>
                <w:w w:val="91"/>
              </w:rPr>
              <w:t>Assuming</w:t>
            </w:r>
          </w:p>
        </w:tc>
        <w:tc>
          <w:tcPr>
            <w:tcW w:w="1700" w:type="dxa"/>
            <w:vAlign w:val="bottom"/>
            <w:gridSpan w:val="4"/>
          </w:tcPr>
          <w:p>
            <w:pPr>
              <w:jc w:val="center"/>
              <w:ind w:right="200"/>
              <w:spacing w:after="0" w:line="158" w:lineRule="exact"/>
              <w:rPr>
                <w:sz w:val="20"/>
                <w:szCs w:val="20"/>
                <w:color w:val="auto"/>
              </w:rPr>
            </w:pPr>
            <w:r>
              <w:rPr>
                <w:rFonts w:ascii="Arial" w:cs="Arial" w:eastAsia="Arial" w:hAnsi="Arial"/>
                <w:sz w:val="14"/>
                <w:szCs w:val="14"/>
                <w:b w:val="1"/>
                <w:bCs w:val="1"/>
                <w:color w:val="auto"/>
                <w:w w:val="93"/>
              </w:rPr>
              <w:t>Offering Assuming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6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Beneficially Owned Prior to</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Common</w:t>
            </w:r>
          </w:p>
        </w:tc>
        <w:tc>
          <w:tcPr>
            <w:tcW w:w="19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Underwriters’ Option</w:t>
            </w:r>
          </w:p>
        </w:tc>
        <w:tc>
          <w:tcPr>
            <w:tcW w:w="17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Underwriters’ Option</w:t>
            </w:r>
          </w:p>
        </w:tc>
        <w:tc>
          <w:tcPr>
            <w:tcW w:w="0" w:type="dxa"/>
            <w:vAlign w:val="bottom"/>
          </w:tcPr>
          <w:p>
            <w:pPr>
              <w:spacing w:after="0"/>
              <w:rPr>
                <w:sz w:val="1"/>
                <w:szCs w:val="1"/>
                <w:color w:val="auto"/>
              </w:rPr>
            </w:pPr>
          </w:p>
        </w:tc>
      </w:tr>
      <w:tr>
        <w:trPr>
          <w:trHeight w:val="162"/>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140" w:type="dxa"/>
            <w:vAlign w:val="bottom"/>
            <w:vMerge w:val="restart"/>
          </w:tcPr>
          <w:p>
            <w:pPr>
              <w:spacing w:after="0"/>
              <w:rPr>
                <w:sz w:val="14"/>
                <w:szCs w:val="14"/>
                <w:color w:val="auto"/>
              </w:rPr>
            </w:pPr>
          </w:p>
        </w:tc>
        <w:tc>
          <w:tcPr>
            <w:tcW w:w="22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This Offering</w:t>
            </w: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Stock sold</w:t>
            </w:r>
          </w:p>
        </w:tc>
        <w:tc>
          <w:tcPr>
            <w:tcW w:w="19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is not Exercised</w:t>
            </w:r>
          </w:p>
        </w:tc>
        <w:tc>
          <w:tcPr>
            <w:tcW w:w="17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is Exercised in Full</w:t>
            </w:r>
          </w:p>
        </w:tc>
        <w:tc>
          <w:tcPr>
            <w:tcW w:w="0" w:type="dxa"/>
            <w:vAlign w:val="bottom"/>
          </w:tcPr>
          <w:p>
            <w:pPr>
              <w:spacing w:after="0"/>
              <w:rPr>
                <w:sz w:val="1"/>
                <w:szCs w:val="1"/>
                <w:color w:val="auto"/>
              </w:rPr>
            </w:pPr>
          </w:p>
        </w:tc>
      </w:tr>
      <w:tr>
        <w:trPr>
          <w:trHeight w:val="142"/>
        </w:trPr>
        <w:tc>
          <w:tcPr>
            <w:tcW w:w="380" w:type="dxa"/>
            <w:vAlign w:val="bottom"/>
            <w:tcBorders>
              <w:bottom w:val="single" w:sz="8" w:color="auto"/>
            </w:tcBorders>
            <w:vMerge w:val="continue"/>
          </w:tcPr>
          <w:p>
            <w:pPr>
              <w:spacing w:after="0"/>
              <w:rPr>
                <w:sz w:val="12"/>
                <w:szCs w:val="12"/>
                <w:color w:val="auto"/>
              </w:rPr>
            </w:pPr>
          </w:p>
        </w:tc>
        <w:tc>
          <w:tcPr>
            <w:tcW w:w="4140" w:type="dxa"/>
            <w:vAlign w:val="bottom"/>
            <w:tcBorders>
              <w:bottom w:val="single" w:sz="8" w:color="CCEEFF"/>
            </w:tcBorders>
            <w:vMerge w:val="continue"/>
          </w:tcPr>
          <w:p>
            <w:pPr>
              <w:spacing w:after="0"/>
              <w:rPr>
                <w:sz w:val="12"/>
                <w:szCs w:val="12"/>
                <w:color w:val="auto"/>
              </w:rPr>
            </w:pPr>
          </w:p>
        </w:tc>
        <w:tc>
          <w:tcPr>
            <w:tcW w:w="76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Number</w:t>
            </w:r>
          </w:p>
        </w:tc>
        <w:tc>
          <w:tcPr>
            <w:tcW w:w="4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Percent</w:t>
            </w:r>
          </w:p>
        </w:tc>
        <w:tc>
          <w:tcPr>
            <w:tcW w:w="4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hereby(1)</w:t>
            </w:r>
          </w:p>
        </w:tc>
        <w:tc>
          <w:tcPr>
            <w:tcW w:w="3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45"/>
              <w:spacing w:after="0" w:line="142" w:lineRule="exact"/>
              <w:rPr>
                <w:sz w:val="20"/>
                <w:szCs w:val="20"/>
                <w:color w:val="auto"/>
              </w:rPr>
            </w:pPr>
            <w:r>
              <w:rPr>
                <w:rFonts w:ascii="Arial" w:cs="Arial" w:eastAsia="Arial" w:hAnsi="Arial"/>
                <w:sz w:val="14"/>
                <w:szCs w:val="14"/>
                <w:b w:val="1"/>
                <w:bCs w:val="1"/>
                <w:color w:val="auto"/>
              </w:rPr>
              <w:t>Number</w:t>
            </w:r>
          </w:p>
        </w:tc>
        <w:tc>
          <w:tcPr>
            <w:tcW w:w="3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Percent</w:t>
            </w:r>
          </w:p>
        </w:tc>
        <w:tc>
          <w:tcPr>
            <w:tcW w:w="4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45"/>
              <w:spacing w:after="0" w:line="142" w:lineRule="exact"/>
              <w:rPr>
                <w:sz w:val="20"/>
                <w:szCs w:val="20"/>
                <w:color w:val="auto"/>
              </w:rPr>
            </w:pPr>
            <w:r>
              <w:rPr>
                <w:rFonts w:ascii="Arial" w:cs="Arial" w:eastAsia="Arial" w:hAnsi="Arial"/>
                <w:sz w:val="14"/>
                <w:szCs w:val="14"/>
                <w:b w:val="1"/>
                <w:bCs w:val="1"/>
                <w:color w:val="auto"/>
              </w:rPr>
              <w:t>Number</w:t>
            </w:r>
          </w:p>
        </w:tc>
        <w:tc>
          <w:tcPr>
            <w:tcW w:w="3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Percent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New</w:t>
            </w: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SEP SWH Holdings, L.P.(2)</w:t>
            </w:r>
          </w:p>
        </w:tc>
        <w:tc>
          <w:tcPr>
            <w:tcW w:w="760" w:type="dxa"/>
            <w:vAlign w:val="bottom"/>
            <w:shd w:val="clear" w:color="auto" w:fill="CCEEFF"/>
          </w:tcPr>
          <w:p>
            <w:pPr>
              <w:ind w:left="80"/>
              <w:spacing w:after="0"/>
              <w:rPr>
                <w:sz w:val="20"/>
                <w:szCs w:val="20"/>
                <w:color w:val="auto"/>
              </w:rPr>
            </w:pPr>
            <w:r>
              <w:rPr>
                <w:rFonts w:ascii="Arial" w:cs="Arial" w:eastAsia="Arial" w:hAnsi="Arial"/>
                <w:sz w:val="16"/>
                <w:szCs w:val="16"/>
                <w:color w:val="auto"/>
                <w:w w:val="72"/>
              </w:rPr>
              <w:t>7,730,179(3)</w:t>
            </w:r>
          </w:p>
        </w:tc>
        <w:tc>
          <w:tcPr>
            <w:tcW w:w="4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18.4%</w:t>
            </w:r>
          </w:p>
        </w:tc>
        <w:tc>
          <w:tcPr>
            <w:tcW w:w="7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7"/>
              </w:rPr>
              <w:t>2,526,316</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5,203,863</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12.4%</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4,824,916</w:t>
            </w: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5"/>
              </w:rPr>
              <w:t>11.5%</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7"/>
                <w:szCs w:val="17"/>
                <w:color w:val="auto"/>
              </w:rPr>
              <w:t>SEP SWH Holdings, L.P.(2)</w:t>
            </w:r>
          </w:p>
        </w:tc>
        <w:tc>
          <w:tcPr>
            <w:tcW w:w="1200" w:type="dxa"/>
            <w:vAlign w:val="bottom"/>
            <w:gridSpan w:val="2"/>
          </w:tcPr>
          <w:p>
            <w:pPr>
              <w:ind w:left="80"/>
              <w:spacing w:after="0"/>
              <w:rPr>
                <w:sz w:val="20"/>
                <w:szCs w:val="20"/>
                <w:color w:val="auto"/>
              </w:rPr>
            </w:pPr>
            <w:r>
              <w:rPr>
                <w:rFonts w:ascii="Arial" w:cs="Arial" w:eastAsia="Arial" w:hAnsi="Arial"/>
                <w:sz w:val="17"/>
                <w:szCs w:val="17"/>
                <w:color w:val="auto"/>
              </w:rPr>
              <w:t>7,569,132(3)</w:t>
            </w:r>
          </w:p>
        </w:tc>
        <w:tc>
          <w:tcPr>
            <w:tcW w:w="1060" w:type="dxa"/>
            <w:vAlign w:val="bottom"/>
            <w:gridSpan w:val="2"/>
          </w:tcPr>
          <w:p>
            <w:pPr>
              <w:ind w:left="360"/>
              <w:spacing w:after="0"/>
              <w:rPr>
                <w:sz w:val="20"/>
                <w:szCs w:val="20"/>
                <w:color w:val="auto"/>
              </w:rPr>
            </w:pPr>
            <w:r>
              <w:rPr>
                <w:rFonts w:ascii="Arial" w:cs="Arial" w:eastAsia="Arial" w:hAnsi="Arial"/>
                <w:sz w:val="17"/>
                <w:szCs w:val="17"/>
                <w:color w:val="auto"/>
              </w:rPr>
              <w:t>18.0</w:t>
            </w:r>
          </w:p>
        </w:tc>
        <w:tc>
          <w:tcPr>
            <w:tcW w:w="1040" w:type="dxa"/>
            <w:vAlign w:val="bottom"/>
            <w:gridSpan w:val="2"/>
          </w:tcPr>
          <w:p>
            <w:pPr>
              <w:ind w:left="60"/>
              <w:spacing w:after="0"/>
              <w:rPr>
                <w:sz w:val="20"/>
                <w:szCs w:val="20"/>
                <w:color w:val="auto"/>
              </w:rPr>
            </w:pPr>
            <w:r>
              <w:rPr>
                <w:rFonts w:ascii="Arial" w:cs="Arial" w:eastAsia="Arial" w:hAnsi="Arial"/>
                <w:sz w:val="17"/>
                <w:szCs w:val="17"/>
                <w:color w:val="auto"/>
              </w:rPr>
              <w:t>2,473,684</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5,095,448</w:t>
            </w:r>
          </w:p>
        </w:tc>
        <w:tc>
          <w:tcPr>
            <w:tcW w:w="300" w:type="dxa"/>
            <w:vAlign w:val="bottom"/>
          </w:tcPr>
          <w:p>
            <w:pPr>
              <w:spacing w:after="0"/>
              <w:rPr>
                <w:sz w:val="18"/>
                <w:szCs w:val="18"/>
                <w:color w:val="auto"/>
              </w:rPr>
            </w:pPr>
          </w:p>
        </w:tc>
        <w:tc>
          <w:tcPr>
            <w:tcW w:w="860" w:type="dxa"/>
            <w:vAlign w:val="bottom"/>
            <w:gridSpan w:val="2"/>
          </w:tcPr>
          <w:p>
            <w:pPr>
              <w:ind w:left="160"/>
              <w:spacing w:after="0"/>
              <w:rPr>
                <w:sz w:val="20"/>
                <w:szCs w:val="20"/>
                <w:color w:val="auto"/>
              </w:rPr>
            </w:pPr>
            <w:r>
              <w:rPr>
                <w:rFonts w:ascii="Arial" w:cs="Arial" w:eastAsia="Arial" w:hAnsi="Arial"/>
                <w:sz w:val="17"/>
                <w:szCs w:val="17"/>
                <w:color w:val="auto"/>
              </w:rPr>
              <w:t>12.1</w:t>
            </w: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w w:val="95"/>
              </w:rPr>
              <w:t>4,724,395</w:t>
            </w:r>
          </w:p>
        </w:tc>
        <w:tc>
          <w:tcPr>
            <w:tcW w:w="660" w:type="dxa"/>
            <w:vAlign w:val="bottom"/>
            <w:gridSpan w:val="2"/>
          </w:tcPr>
          <w:p>
            <w:pPr>
              <w:ind w:left="180"/>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right="340" w:hanging="452"/>
        <w:spacing w:after="0" w:line="29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Assumes no exercise of the underwriters option to purchase an additional 750,000 shares of common stock from the SEP Funds. If the underwriters exercise their option, the additional shares will be sold pro rata among the SEP Funds based on the number of shares in this column.</w:t>
      </w:r>
    </w:p>
    <w:p>
      <w:pPr>
        <w:ind w:left="460" w:right="4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address of the SEP Funds is c/o Seidler Kutsenda Management Company, LLC, 4640 Admiralty Way, Suite 1200, Marina del Rey, California 90292.</w:t>
      </w:r>
    </w:p>
    <w:p>
      <w:pPr>
        <w:ind w:left="460" w:right="20" w:hanging="452"/>
        <w:spacing w:after="0" w:line="286"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a Schedule 13G/A filed by Seidler Kutsenda Management Company, LLC (“SKMC”), Seidler Equity Partners III, L.P. (“SEP III”), SEP SWH Holdings GP, LLC (“SEP GP”), New SEP, and SEP with the SEC on February 2, 2016. According to the Schedule 13G/A, as of December 31, 2015, 7,730,179 shares of the common stock are held of record by New SEP and 7,569,132 shares of the common stock are held of record by SEP. SEP GP is the general partner of both New SEP and SEP, and SEP III is the sole member of SEP GP. SKMC as the investment manager of SEP III, has ultimate voting and dispositive power over all of the shares owned by the SEP Funds. SKMC’s Investment Committee makes all voting, investment and disposition decisions on behalf of SKMC. That committee is comprised of Peter Seidler, Robert Seidler and Eric Kutsenda. None of these individuals individually exercises control over SKMC, and therefore, each of them disclaims beneficial ownership over the shares owned by the SEP Funds, except to the extent of their respective indirect pecuniary interests, if any, in those shares. Each of SKMC, SEP III and SEP GP may be deemed, pursuant to Rule 13d-3 under the Exchange Act, to beneficially own the common stock held by the SEP Funds. Each of SKMC, SEP III and SEP GP disclaim beneficial ownership of the shares of the Company except to the extent of its indirect pecuniary interests, if any, in those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TAX CONSIDERATIONS FOR NON-U.S. HOLDERS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following is a summary of the material U.S. federal income tax consequences generally applicable to non-U.S. holders (as defined below) with respect to the purchase, beneficial ownership and disposition of shares of our common stock, but does not purport to be a complete analysis of all potential tax considerations related thereto. This summary is based on current provisions of the Internal Revenue Code of 1986, as amended, (the “Code”) final, temporary or proposed U.S. Department of the Treasury regulations promulgated thereunder, administrative rulings and judicial opinions, all of which are subject to change, possibly with retroactive effect. We have not sought any ruling from the Internal Revenue Service (“IRS”) with respect to the statements made and the conclusions reached in the following summary, and there can be no assurance that the IRS or a court will agree with such statements and conclusions.</w:t>
      </w:r>
    </w:p>
    <w:p>
      <w:pPr>
        <w:spacing w:after="0" w:line="16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This summary is limited to non-U.S. holders who purchase our common stock issued pursuant to this offering and who hold shares of our common stock as capital assets within the meaning of Section 1221 of the Code (generally, property held for investment).</w:t>
      </w:r>
    </w:p>
    <w:p>
      <w:pPr>
        <w:spacing w:after="0" w:line="170"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This discussion does not address all aspects of U.S. federal income taxation that may be important to a particular non-U.S. holder in light of that non-U.S. holder’s individual circumstances, including the impact of the Medicare contribution tax on net investment income, nor does it address any aspects of U.S. federal estate or gift tax laws or tax considerations arising under the laws of any non-U.S., state or local jurisdiction. This discussion also does not address tax considerations applicable to a non-U.S. holder subject to special treatment under the U.S. federal income tax laws, including without limitation:</w:t>
      </w:r>
    </w:p>
    <w:p>
      <w:pPr>
        <w:spacing w:after="0" w:line="6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partnerships or other entities treated as partnerships for U.S. federal income tax purposes (or investors therein);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brokers, traders and dealers in securities or currencies;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 and</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persons that will hold common stock as a position in a hedging, integrated or conversion transaction or “straddle,” wash sale, constructive sale or other risk reduction strategy.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Accordingly, we urge prospective investors to consult with their tax advisors regarding the U.S. federal, state, local and non-U.S. income and other tax considerations of acquiring, holding and disposing of shares of our common stock.</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If a partnership (or other entity classified as a partnership for U.S. federal income tax purposes) holds shares of our common stock, the tax treatment of a partner in the partnership (or member in such other entity) will generally depend upon the status of the partner and the activities of the partnership. Any partner in a partnership (or such other entity) holding shares of our common stock should consult its own tax advisors.</w:t>
      </w:r>
    </w:p>
    <w:p>
      <w:pPr>
        <w:spacing w:after="0" w:line="162"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PROSPECTIVE INVESTORS ARE URGED TO CONSULT THEIR TAX ADVISORS WITH RESPECT TO THE APPLICATION OF THE U.S. FEDERAL INCOME TAX LAWS TO THEIR PARTICULAR SITUATIONS AS WELL AS ANY TAX CONSEQUENCES OF THE PURCHASE,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OWNERSHIP AND DISPOSITION OF OUR COMMON STOCK ARISING UNDER THE U.S. FEDERAL ESTATE OR GIFT TAX RULES OR UNDER THE LAWS OF ANY STATE, LOCAL, NON-U.S. OR OTHER TAXING JURISDICTION OR UNDER ANY APPLICABLE TAX TREATY.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general, a “non-U.S. holder” is any beneficial owner of our common stock that is not a U.S. person or an entity treated as a partnership for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A “U.S. person” is any of the following:</w:t>
      </w:r>
    </w:p>
    <w:p>
      <w:pPr>
        <w:spacing w:after="0" w:line="1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any state thereof or the District of Columbia (or entity treated as such for U.S. federal income tax purposes);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U.S. persons have the authority to control all substantial decisions of the trust or (b) it has a valid election in effect under applicable U.S. Department of the Treasury regulations to be treated as a U.S. person.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described in the section titled “Dividend Policy,” we currently do not anticipate paying dividends on our common stock in the foreseeable future. If, however, we make cash or other property distributions on our common stock, such distributions will constitute dividends for U.S. federal income tax purposes to the extent paid from our current earnings and profits for that taxable year or accumulated earnings and profits, as determined under U.S. federal income tax principles. Amounts not treated as dividends for U.S. federal income tax purposes will constitute a return of capital and will first be applied against and reduce a holder’s adjusted tax basis in our common stock, but not below zero. Any excess will be treated as gain realized on the sale or other disposition of our common stock and will be treated as described below under “—Gain on Sale or Other Disposition of Our Common Stock.”</w:t>
      </w:r>
    </w:p>
    <w:p>
      <w:pPr>
        <w:spacing w:after="0" w:line="16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Any dividend paid to a non-U.S. holder of our common stock generally will be subject to U.S. federal withholding tax at a rate of 30% of the gross amount of the dividend, or such lower rate specified by an applicable income tax treaty. To receive the benefit of a reduced treaty rate, a non-U.S. holder must furnish to us or our paying agent a valid IRS Form W-8BEN or W-8BEN-E (or other applicable form) certifying, under penalties of perjury, such holder’s qualification for the reduced rate. This certification must be provided to us or our paying agent prior to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Non-U.S. holders that do not timely provide us or our paying agent with the required certification, but qualify for a reduced treaty rate, may obtain a refund of any excess amounts withheld by timely filing an appropriate claim for refund with the IRS. Non-U.S. holders are encouraged to consult their tax advisors regarding possible entitlement to benefits under a tax treaty.</w:t>
      </w:r>
    </w:p>
    <w:p>
      <w:pPr>
        <w:spacing w:after="0" w:line="182"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If a non-U.S. holder provides an IRS Form W-8ECI, certifying that the dividend is effectively connected with such holder’s conduct of a trade or business within the United States (and, if required by an applicable income tax treaty, is attributable to a permanent establishment maintained by the non-U.S. holder in the United States), the dividend will not be subject to the aforementioned U.S. federal withholding tax. Instead, the dividend generally will be subject to U.S. federal income tax in the manner described below under “—Effectively Connected Income.”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Disposition of Our Common Stock</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Except as otherwise discussed below, a non-U.S. holder generally will not be subject to U.S. federal income tax on any gain realized upon the sale, exchange or other taxable disposition of our common stock unless:</w:t>
      </w:r>
    </w:p>
    <w:p>
      <w:pPr>
        <w:spacing w:after="0" w:line="76" w:lineRule="exact"/>
        <w:rPr>
          <w:sz w:val="20"/>
          <w:szCs w:val="20"/>
          <w:color w:val="auto"/>
        </w:rPr>
      </w:pPr>
    </w:p>
    <w:p>
      <w:pPr>
        <w:ind w:left="900" w:right="420" w:hanging="325"/>
        <w:spacing w:after="0" w:line="308"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conducted by the non-U.S. holder in the United States (and, if an income tax treaty applies, the gain is attributable to a permanent establishment maintained by the non-U.S. holder in the United States);</w:t>
      </w:r>
    </w:p>
    <w:p>
      <w:pPr>
        <w:spacing w:after="0" w:line="51" w:lineRule="exact"/>
        <w:rPr>
          <w:rFonts w:ascii="Arial" w:cs="Arial" w:eastAsia="Arial" w:hAnsi="Arial"/>
          <w:sz w:val="17"/>
          <w:szCs w:val="17"/>
          <w:color w:val="auto"/>
        </w:rPr>
      </w:pPr>
    </w:p>
    <w:p>
      <w:pPr>
        <w:ind w:left="900" w:right="7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in the taxable year of disposition and certain other requirements are met; or</w:t>
      </w:r>
    </w:p>
    <w:p>
      <w:pPr>
        <w:spacing w:after="0" w:line="75"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reasons of our status as a U.S. real property holding corporation (“USRPHC”), for U.S. federal income tax purposes.</w:t>
      </w:r>
    </w:p>
    <w:p>
      <w:pPr>
        <w:spacing w:after="0" w:line="170"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Gain described in the first bullet point above will be subject to U.S. federal income tax in the manner described below under “—Effectively Connected Income.” A non-U.S. holder described in the second bullet point above will be subject to U.S. federal income tax at a 30% rate (or such lower rate as may be specified by an applicable income tax treaty) on the net gain derived from the sale, exchange, or other taxable disposition, which may be offset by U.S. source capital losses of the non-U.S. holder, provided the non-U.S. holder has timely and properly filed U.S. federal income tax returns with respect to such losses.</w:t>
      </w:r>
    </w:p>
    <w:p>
      <w:pPr>
        <w:spacing w:after="0" w:line="154"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With respect to the third bullet point above, we believe we are not currently and do not anticipate becoming a USRPHC for U.S. federal income tax purposes. However, because the determination of whether we are a USRPHC depends on the fair market value of our U.S. real property relative to the fair market value of our other business assets and our foreign real property interests, there can be no assurance we are not or will not become a USRPHC in the future. If we are or become a USRPHC, so long as our common stock is considered regularly traded on an established securities market, only a non-U.S. holder that actually or constructively holds or held more than 5% of our common stock at any time during the shorter of the five-year period ending on the date of the sale or other taxable disposition or the non-U.S. holder’s holding period for our stock will be subject to U.S. federal income tax on the disposition of our common stock. If gain on the sale or other taxable disposition of our common stock were subject to taxation under the third bullet point above, any such taxable gain recognized by the non-U.S. holder would be taxed in the same manner as gain described in “—Effectively Connected Income” below, except that the branch profits tax would not apply.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Effectively Connected Income</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Any dividend with respect to, or gain realized upon the sale, exchange or other taxable disposition of, our common stock that is effectively connected with a trade or business carried on by a non-U.S. holder within the United States (and, if an income tax treaty applies, that is attributable to a permanent establishment maintained by such non-U.S. holder in the United States) will be subject to U.S. federal income tax, based on the non-U.S. holder’s net income, generally in the same manner as if the non-U.S. holder were a U.S. person for U.S. federal income tax purposes. If a dividend or gain is effectively connected with a U.S. trade or business of a non-U.S. holder that is a corporation, such corporate non-U.S. holder may be subject to an additional “branch profits tax” at a 30% rate (or such lower rate as may be specified by an applicable income tax treaty), subject to certain adjustments. Non-U.S. holders should consult their tax advisors regarding any applicable tax treaties that may provide for different rules.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Generally, annual reporting to the IRS and to each non-U.S. holder will be required as to the amount of dividends paid to such non-U.S. Holder and the tax withheld, if any, with respect to such dividends. This information also may be made available to the tax authorities in the country in which the non-U.S. holder resides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or is established. Backup withholding generally will not apply to distributions to a non-U.S. holder of our common stock if the non-U.S. holder properly certifies as to its non-U.S. status, generally on an applicable IRS Form W-8, such as IRS Form W-8BEN, W-8BEN-E or W-8ECI (and the payor does not have actual knowledge or reason to know that the beneficial owner is a U.S. person as defined under the Code).</w:t>
      </w:r>
    </w:p>
    <w:p>
      <w:pPr>
        <w:spacing w:after="0" w:line="18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Information reporting will apply to the proceeds of a sale of a common stock within the United States or conducted through certain U.S.-related financial intermediaries. Depending on the circumstances, backup withholding may apply as well, unless the beneficial owner furnishes to us or our paying agent the required certification as to its non-U.S. status, such as by providing a valid IRS Form W-8BEN, W-8BEN-E or W-8ECI (and the payor does not have actual knowledge or reason to know that the beneficial owner is a U.S. person as defined under the Code), or such owner otherwise establishes an exemption.</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Withholding taxes may be imposed under Sections 1471-1474 of the Code (such Sections and related rules, regulations and guidance issued thereunder with any intergovernmental agreements and non-U.S. legislation implementing such agreements are commonly referred to as the Foreign Account Tax Compliance Act or “FATCA”) on certain types of payments made to non-U.S. financial institutions and certain other non-U.S. entities. Specifically, subject to certain exceptions, Section 1471 of the Code generally imposes a 30% withholding tax on dividends paid with respect to, and the gross proceeds from a sale or other disposition of, our common stock, in each case paid to (i) a “foreign financial institution” (as defined in the Code) (“FFI”), unless the FFI enters into an agreement with the U.S. Treasury Department to perform due diligence and collect and report detailed information regarding its U.S. accounts and their holders (including certain account holders that are foreign entities that have U.S. owners), and satisfies certain other requirements and (ii) a “non-financial foreign entity” (as defined in the Code) (“NFFE”), unless the NFFE either certifies it does not have any “substantial United States owners” (as defined in the Code) or furnishes identifying information regarding each substantial United States owner, and complies with certain other requirements. An intergovernmental agreement implementing FATCA between the United States and an applicable non-U.S. jurisdiction may modify these requirements.</w:t>
      </w:r>
    </w:p>
    <w:p>
      <w:pPr>
        <w:spacing w:after="0" w:line="16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Withholding under FATCA applies with respect to payments of dividends on our common stock and is scheduled to apply to gross proceeds from the sale or other disposition of such stock occurring on or after January 1, 2019. Under certain circumstances, a Non-U.S. holder of shares of our common stock might be eligible for refunds or credits of the tax. Prospective investors are encouraged to consult their tax advisors regarding the potential application of withholding under FATCA to their investment in our common stock, including without limitation the interaction of FATCA withholding with the other withholding rules discussed above.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Under the terms and subject to the conditions contained in an underwriting agreement dated as of the date of this prospectus supplement, the selling stockholders have agreed to sell to the underwriters named below, for whom Credit Suisse Securities (USA) LLC and Goldman, Sachs &amp; Co. are acting as representatives, the following respective numbers of shares of common stock:</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928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Number of Shares</w:t>
            </w:r>
          </w:p>
        </w:tc>
      </w:tr>
      <w:tr>
        <w:trPr>
          <w:trHeight w:val="20"/>
        </w:trPr>
        <w:tc>
          <w:tcPr>
            <w:tcW w:w="780" w:type="dxa"/>
            <w:vAlign w:val="bottom"/>
            <w:shd w:val="clear" w:color="auto" w:fill="000000"/>
          </w:tcPr>
          <w:p>
            <w:pPr>
              <w:spacing w:after="0" w:line="20" w:lineRule="exact"/>
              <w:rPr>
                <w:sz w:val="1"/>
                <w:szCs w:val="1"/>
                <w:color w:val="auto"/>
              </w:rPr>
            </w:pPr>
          </w:p>
        </w:tc>
        <w:tc>
          <w:tcPr>
            <w:tcW w:w="85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9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Credit Suisse Securities (USA) LLC</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Baird &amp; Co. Incorporated</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William Blair &amp; Company, L.L.C.</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Piper Jaffray &amp; Co.</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D.A. Davidson &amp; Co.</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CRT Capital Group LLC</w:t>
            </w: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The underwriting agreement provides that the underwriters are obligated to purchase all the shares of common stock in the offering if any are purchased, other than those shares covered by the option described below. The underwriting agreement also provides that if an underwriter defaults, the purchase commitments of non-defaulting underwriters may be increased or the offering may be terminated.</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SEP Funds have granted to the underwriters a 30-day option to purchase up to 750,000 additional shares from the SEP Funds at the public offering price less the underwriting discounts and commissions.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shares of common stock initially at the public offering price on the cover page of this prospectus supplement and</w:t>
      </w:r>
    </w:p>
    <w:p>
      <w:pPr>
        <w:spacing w:after="0" w:line="4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to selling group members at that price less a selling concession of $ per share. After the public offering, the representatives may change the public offering price and concession and discount to broker/dealers.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underwriting discounts and commissions the selling stockholders will pay: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Share</w:t>
            </w:r>
          </w:p>
        </w:tc>
        <w:tc>
          <w:tcPr>
            <w:tcW w:w="4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60" w:type="dxa"/>
            <w:vAlign w:val="bottom"/>
          </w:tcPr>
          <w:p>
            <w:pPr>
              <w:spacing w:after="0"/>
              <w:rPr>
                <w:sz w:val="10"/>
                <w:szCs w:val="10"/>
                <w:color w:val="auto"/>
              </w:rPr>
            </w:pPr>
          </w:p>
        </w:tc>
        <w:tc>
          <w:tcPr>
            <w:tcW w:w="12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Without</w:t>
            </w:r>
          </w:p>
        </w:tc>
        <w:tc>
          <w:tcPr>
            <w:tcW w:w="42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With</w:t>
            </w:r>
          </w:p>
        </w:tc>
        <w:tc>
          <w:tcPr>
            <w:tcW w:w="740" w:type="dxa"/>
            <w:vAlign w:val="bottom"/>
          </w:tcPr>
          <w:p>
            <w:pPr>
              <w:spacing w:after="0"/>
              <w:rPr>
                <w:sz w:val="10"/>
                <w:szCs w:val="10"/>
                <w:color w:val="auto"/>
              </w:rPr>
            </w:pPr>
          </w:p>
        </w:tc>
        <w:tc>
          <w:tcPr>
            <w:tcW w:w="520" w:type="dxa"/>
            <w:vAlign w:val="bottom"/>
          </w:tcPr>
          <w:p>
            <w:pPr>
              <w:spacing w:after="0" w:line="119" w:lineRule="exact"/>
              <w:rPr>
                <w:sz w:val="20"/>
                <w:szCs w:val="20"/>
                <w:color w:val="auto"/>
              </w:rPr>
            </w:pPr>
            <w:r>
              <w:rPr>
                <w:rFonts w:ascii="Arial" w:cs="Arial" w:eastAsia="Arial" w:hAnsi="Arial"/>
                <w:sz w:val="13"/>
                <w:szCs w:val="13"/>
                <w:b w:val="1"/>
                <w:bCs w:val="1"/>
                <w:color w:val="auto"/>
              </w:rPr>
              <w:t>Without</w:t>
            </w:r>
          </w:p>
        </w:tc>
        <w:tc>
          <w:tcPr>
            <w:tcW w:w="74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With Option</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Option</w:t>
            </w: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Option</w:t>
            </w: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Option</w:t>
            </w:r>
          </w:p>
        </w:tc>
        <w:tc>
          <w:tcPr>
            <w:tcW w:w="7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Discounts and Commissions paid by selling stockholders</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We estimate that our out of pocket expenses for this offering will be approximately $350,000. In addition, we have agreed to reimburse the underwriters for certain of their expenses in an amount up to $25,000.</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underwriters have informed us that they do not expect sales to accounts over which the underwriters have discretionary authority to exceed 5% of the shares of common stock being offered. The underwriters will not confirm sales to any accounts over which they exercise discretionary authority without first receiving a written consent from those accounts.</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agreed that, subject to certain exceptions, for the period specified below, we will not, directly or indirectly, take any of the following actions with respect to any class of our common equity or any securities convertible into or exchangeable or exercisable for any class of our common equity (which we refer to as “lock-up securities”): (1) offer, sell, issue, contract to sell, pledge or otherwise dispose of lock-up securities, (2) offer, sell, issue, contract to sell, contract to purchase or grant any option, right or warrant to purchase lock-up</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securities, (3) enter into any swap, hedge or any other agreement that transfers, in whole or in part, the economic consequences of ownership of lock-up securities, (4) establish or increase a put equivalent position or liquidate or decrease a call equivalent position in lock-up securities within the meaning of Section 16 of the Exchange Act, or (5) file with the SEC a registration statement under the Securities Act, relating to lock-up securities, or publicly disclose the intention to take any such action, without the prior written consent of the representatives.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our executive officers, directors and the selling stockholders will have agreed that, subject to certain exceptions, for the period specified below, they will not, without the prior written consent of the representatives, (1) offer, sell, contract to sell, pledge or otherwise dispose of, directly or indirectly, any lock-up securities, enter into a transaction which would have the same effect, or enter into any swap, hedge or other arrangement that transfers, in whole or in part, any of the economic consequences of ownership of any lock-up securities, whether any such aforementioned transaction is to be settled by delivery of any lock-up securities or such other securities, in cash or otherwise, or publicly disclose the intention to make any such offer, sale, pledge or disposition, or to enter into any such transaction, swap, hedge or other arrangement or (2) make any demand for or exercise any right with respect to, the registration of any lock-up securities.</w:t>
      </w:r>
    </w:p>
    <w:p>
      <w:pPr>
        <w:spacing w:after="0" w:line="189"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initial period during which the restrictions described in the preceding two paragraphs will apply, will commence on the date of this prospectus supplement and continue for 75 days after the date of this prospectus supplement or such earlier date that the representatives consent to in writing.</w:t>
      </w:r>
    </w:p>
    <w:p>
      <w:pPr>
        <w:spacing w:after="0" w:line="12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and the selling stockholders have agreed to indemnify the several underwriters and their control persons against liabilities under the Securities Act, or contribute to payments that the underwriters or their control persons may be required to make in that respect.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Select Market under the symbol “SPWH.”</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connection with the offering the underwriters may engage in stabilizing transactions, options to purchase additional shares, syndicate covering transactions and penalty bids in accordance with Regulation M under the Exchange Act.</w:t>
      </w:r>
    </w:p>
    <w:p>
      <w:pPr>
        <w:spacing w:after="0" w:line="7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900" w:right="40" w:hanging="325"/>
        <w:spacing w:after="0" w:line="273"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Option to purchase additional shares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option to purchase additional shares. In a naked short position, the number of shares involved is greater than the number of shares in the option to purchase additional shares. The underwriters may close out any covered short position by either exercising their option to purchase additional shares and/or purchasing shares in the open market.</w:t>
      </w:r>
    </w:p>
    <w:p>
      <w:pPr>
        <w:spacing w:after="0" w:line="83" w:lineRule="exact"/>
        <w:rPr>
          <w:rFonts w:ascii="Arial" w:cs="Arial" w:eastAsia="Arial" w:hAnsi="Arial"/>
          <w:sz w:val="17"/>
          <w:szCs w:val="17"/>
          <w:color w:val="auto"/>
        </w:rPr>
      </w:pPr>
    </w:p>
    <w:p>
      <w:pPr>
        <w:ind w:left="900" w:right="80" w:hanging="325"/>
        <w:spacing w:after="0" w:line="272"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option to purchase additional shares. If the underwriters sell more shares than could be covered by the option to purchase additional shares,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83" w:lineRule="exact"/>
        <w:rPr>
          <w:rFonts w:ascii="Arial" w:cs="Arial" w:eastAsia="Arial" w:hAnsi="Arial"/>
          <w:sz w:val="17"/>
          <w:szCs w:val="17"/>
          <w:color w:val="auto"/>
        </w:rPr>
      </w:pPr>
    </w:p>
    <w:p>
      <w:pPr>
        <w:ind w:left="900" w:right="200" w:hanging="325"/>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These transactions may be effected on The NASDAQ Global Select Market or otherwise and, if commenced, may be discontinued at any time.</w:t>
      </w:r>
    </w:p>
    <w:p>
      <w:pPr>
        <w:spacing w:after="0" w:line="18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A prospectus supplement in electronic format may be made available on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Relationships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past, the underwriters and their affiliates have not rendered underwriting services to us. The underwriters and their affiliates have, however, provided traditional commercial lending services and certain other commercial investment banking services to us in the ordinary course of business for which they received customary fees and commissions. Credit Suisse arranged and serves as administrative agent and collateral agent under the credit agreement governing our term loans.</w:t>
      </w:r>
    </w:p>
    <w:p>
      <w:pPr>
        <w:spacing w:after="0" w:line="193"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color w:val="auto"/>
        </w:rPr>
        <w:t>We expect that the underwriters and their respective affiliates will continue to perform various financial advisory, investment banking and lending services for us or our affiliates, from time to time in the future, for which they may receive customary fees and commissions. In the ordinary course of their various business activities, the underwriters and their respective affiliates may also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(directly, as collateral securing other obligations or otherwise).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No action has been taken in any jurisdiction (except in the United States) that would permit a public offering of our common stock, or the possession, circulation or distribution of this prospectus supplement or any other material relating to us or our common stock, where action for that purpose is required. Accordingly, our common stock may not be offered or sold, directly or indirectly, and neither this prospectus supplement nor any other offering material or advertisements in connection with our common stock may be distributed or published, in any country or jurisdiction except in compliance with any applicable rules and regulations of any that country or jurisdiction.</w:t>
      </w:r>
    </w:p>
    <w:p>
      <w:pPr>
        <w:spacing w:after="0" w:line="18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Australia</w:t>
      </w:r>
      <w:r>
        <w:rPr>
          <w:rFonts w:ascii="Arial" w:cs="Arial" w:eastAsia="Arial" w:hAnsi="Arial"/>
          <w:sz w:val="18"/>
          <w:szCs w:val="18"/>
          <w:color w:val="auto"/>
        </w:rPr>
        <w:t>. This prospectus supplement is not a product disclosure statement, prospectus or other type of disclosure document for the purposes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Corporations Act 2001 (Commonwealth of Australia) (the “Act”) and does not purport to include the information required of a product disclosure statement, prospectus or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disclosure document under Chapter 6D.2 of the Act. No product disclosure statement, prospectus, disclosure document, offering material or advertisement in relation to the offer of our common stock has been or will be lodged with the Australian Securities and Investments Commission or the Australian Securities Exchange.</w:t>
      </w:r>
    </w:p>
    <w:p>
      <w:pPr>
        <w:spacing w:after="0" w:line="18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Accordingly, (1) the offer of our common stock under this prospectus supplement may only be made to persons: (i) to whom it is lawful to offer our common stock without disclosure to investors under Chapter 6D.2 of the Act under one or more exemptions set forth in Section 708 of the Act; and (ii) who are “wholesale clients” as that term is defined in section 761G of the Act; (2) this prospectus supplement may only be made available in Australia to persons as set forth in clause (1) above; and (3) by accepting this offer, the offeree represents that the offeree is such a person as set forth in clause (1) above, and the offeree agrees not to sell or offer for sale any of our common stock sold to the offeree within twelve months after their issue except as otherwise permitted under the Act.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Canadian Residents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distribution of common stock in Canada is being made only in the provinces of Ontario, Quebec, Alberta and British Columbia on a private placement basis exempt from the requirement that we and the selling stockholders prepare and file a prospectus with the securities regulatory authorities in each province where trades of these securities are made. Any resale of the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By purchasing common stock in Canada and accepting delivery of a purchase confirmation, a purchaser is representing to us, the selling stockholders and the dealer from whom the purchase confirmation is received that:</w:t>
      </w:r>
    </w:p>
    <w:p>
      <w:pPr>
        <w:spacing w:after="0" w:line="76" w:lineRule="exact"/>
        <w:rPr>
          <w:sz w:val="20"/>
          <w:szCs w:val="20"/>
          <w:color w:val="auto"/>
        </w:rPr>
      </w:pPr>
    </w:p>
    <w:p>
      <w:pPr>
        <w:ind w:left="900" w:right="200" w:hanging="325"/>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purchaser is entitled under applicable provincial securities laws to purchase the common stock without the benefit of a prospectus qualified under those securities laws as it is an “accredited investor” as defined under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900" w:right="6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Canadian purchasers are hereby notified that the underwriters are relying on the exemption set out in section 3A.3 or 3A.4, if applicable, of National Instrument 33-105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All of our directors and officers as well as the experts named herein and the selling stockholders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Canadian purchasers of common stock should consult their own legal and tax advisors with respect to the tax consequences of an investment in the common stock in their particular circumstances and about the eligibility of the common stock for investment by the purchaser under relevant Canadian legislation.</w:t>
      </w:r>
    </w:p>
    <w:p>
      <w:pPr>
        <w:spacing w:after="0" w:line="18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b w:val="1"/>
          <w:bCs w:val="1"/>
          <w:i w:val="1"/>
          <w:iCs w:val="1"/>
          <w:color w:val="auto"/>
        </w:rPr>
        <w:t>Cayman Islands</w:t>
      </w:r>
      <w:r>
        <w:rPr>
          <w:rFonts w:ascii="Arial" w:cs="Arial" w:eastAsia="Arial" w:hAnsi="Arial"/>
          <w:sz w:val="17"/>
          <w:szCs w:val="17"/>
          <w:color w:val="auto"/>
        </w:rPr>
        <w:t>. This prospectus supplement does not constitute a public offer of our common stock, whether by way of sale or subscription,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Cayman Islands. No offer or sale, directly or indirectly, of any common stock will be made to any member of the public in the Cayman Islands.</w:t>
      </w:r>
    </w:p>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European Economic Area</w:t>
      </w:r>
      <w:r>
        <w:rPr>
          <w:rFonts w:ascii="Arial" w:cs="Arial" w:eastAsia="Arial" w:hAnsi="Arial"/>
          <w:sz w:val="18"/>
          <w:szCs w:val="18"/>
          <w:color w:val="auto"/>
        </w:rPr>
        <w:t>. In relation to each Member State of the European Economic Area that has implemented the Prospectus Directive,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Relevant Member State, from and including the date on which the Prospectus Directive is implemented in that Relevant Member State, or the Relevant Implementation Date, an offer of common stock to the public may not be made in that Relevant Member State prior to the publication of a prospectus in relation to our common stock that has been approved by the competent authority in that Relevant Member State or, where appropriate, approved in another Relevant Member State and the competent authority in that Relevant Member State has been notified, all in accordance with the Prospectus Directive, except that it may, with effect from and including the Relevant Implementation Date, make an offer of our common stock to the public in that Relevant Member State at any time,</w:t>
      </w:r>
    </w:p>
    <w:p>
      <w:pPr>
        <w:spacing w:after="0" w:line="189" w:lineRule="exact"/>
        <w:rPr>
          <w:sz w:val="20"/>
          <w:szCs w:val="20"/>
          <w:color w:val="auto"/>
        </w:rPr>
      </w:pPr>
    </w:p>
    <w:p>
      <w:pPr>
        <w:ind w:right="160" w:firstLine="464"/>
        <w:spacing w:after="0" w:line="277" w:lineRule="auto"/>
        <w:tabs>
          <w:tab w:leader="none" w:pos="70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legal entities that are authorized or regulated to operate in the financial markets or, if not so authorized or regulated, whose corporate purpose is solely to invest in securities;</w:t>
      </w:r>
    </w:p>
    <w:p>
      <w:pPr>
        <w:spacing w:after="0" w:line="170" w:lineRule="exact"/>
        <w:rPr>
          <w:rFonts w:ascii="Arial" w:cs="Arial" w:eastAsia="Arial" w:hAnsi="Arial"/>
          <w:sz w:val="18"/>
          <w:szCs w:val="18"/>
          <w:color w:val="auto"/>
        </w:rPr>
      </w:pPr>
    </w:p>
    <w:p>
      <w:pPr>
        <w:ind w:right="200" w:firstLine="464"/>
        <w:spacing w:after="0" w:line="308" w:lineRule="auto"/>
        <w:tabs>
          <w:tab w:leader="none" w:pos="71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any legal entity that has two or more of (1) an average of at least 250 employees during the last financial year; (2) a total balance sheet of more than €43,000,000 and (3) an annual net turnover of more than €50,000,000, as shown in its last annual or consolidated accounts;</w:t>
      </w:r>
    </w:p>
    <w:p>
      <w:pPr>
        <w:spacing w:after="0" w:line="146" w:lineRule="exact"/>
        <w:rPr>
          <w:rFonts w:ascii="Arial" w:cs="Arial" w:eastAsia="Arial" w:hAnsi="Arial"/>
          <w:sz w:val="17"/>
          <w:szCs w:val="17"/>
          <w:color w:val="auto"/>
        </w:rPr>
      </w:pPr>
    </w:p>
    <w:p>
      <w:pPr>
        <w:ind w:left="700" w:hanging="23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by you of a prospectus pursuant to Article 3 of the Prospectus Directive;</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provided that no such offer of common stock shall result in a requirement for the publication by us of a prospectus pursuant to Article 3 of the Prospectus Directive.</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For purposes of the above provision, the expression “an offer of common stock to the public” in relation to any common stock in any Relevant Member State means the communication in any form and by any means of sufficient information on the terms of the offer and our common stock to be offered so as to enable an investor to decide to purchase or subscribe for our common stock,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Hong Kong</w:t>
      </w:r>
      <w:r>
        <w:rPr>
          <w:rFonts w:ascii="Arial" w:cs="Arial" w:eastAsia="Arial" w:hAnsi="Arial"/>
          <w:sz w:val="17"/>
          <w:szCs w:val="17"/>
          <w:color w:val="auto"/>
        </w:rPr>
        <w:t>. Our common stock may not be offered or sold by means of this document or any other document other than (i) in circumstances that do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constitute an offer or invitation to the public within the meaning of the Companies Ordinance (Cap.32, Laws of Hong Kong) or the Securities and Futures Ordinance (Cap.571, Laws of Hong Kong), or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our common stock may be issued or may be in the possession of any person for the purpose of issue (in each case whether in Hong Kong or elsewhere), that is directed at, or the contents of which are likely to be accessed or read by, the public in Hong Kong (except if permitted to do so under the laws of Hong Kong) other than with respect to common stock that is or is intended to be disposed of only to persons outside Hong Kong or only to “professional investors” within the meaning of the Securities and Futures Ordinance (Cap. 571, Laws of Hong Kong) and any rules made thereunder.</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r>
        <w:rPr>
          <w:rFonts w:ascii="Arial" w:cs="Arial" w:eastAsia="Arial" w:hAnsi="Arial"/>
          <w:sz w:val="18"/>
          <w:szCs w:val="18"/>
          <w:color w:val="auto"/>
        </w:rPr>
        <w:t>. In the State of Israel, our common stock offered hereby may not be offered to any person or entity other than the following:</w:t>
      </w:r>
    </w:p>
    <w:p>
      <w:pPr>
        <w:spacing w:after="0" w:line="117" w:lineRule="exact"/>
        <w:rPr>
          <w:sz w:val="20"/>
          <w:szCs w:val="20"/>
          <w:color w:val="auto"/>
        </w:rPr>
      </w:pPr>
    </w:p>
    <w:p>
      <w:pPr>
        <w:ind w:right="860" w:firstLine="464"/>
        <w:spacing w:after="0" w:line="277" w:lineRule="auto"/>
        <w:tabs>
          <w:tab w:leader="none" w:pos="7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fund for joint investments in trust (</w:t>
      </w:r>
      <w:r>
        <w:rPr>
          <w:rFonts w:ascii="Arial" w:cs="Arial" w:eastAsia="Arial" w:hAnsi="Arial"/>
          <w:sz w:val="18"/>
          <w:szCs w:val="18"/>
          <w:i w:val="1"/>
          <w:iCs w:val="1"/>
          <w:color w:val="auto"/>
        </w:rPr>
        <w:t>i.e.</w:t>
      </w:r>
      <w:r>
        <w:rPr>
          <w:rFonts w:ascii="Arial" w:cs="Arial" w:eastAsia="Arial" w:hAnsi="Arial"/>
          <w:sz w:val="18"/>
          <w:szCs w:val="18"/>
          <w:color w:val="auto"/>
        </w:rPr>
        <w:t>, mutual fund), as such term is defined in the Law for Joint Investments in Trust, 5754-1994, or a management company of such a fund;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provident fund as defined in Section 47(a)(2) of the Income Tax Ordinance of the State of Israel, or a management company of such a fund;</w:t>
      </w:r>
    </w:p>
    <w:p>
      <w:pPr>
        <w:spacing w:after="0" w:line="236" w:lineRule="exact"/>
        <w:rPr>
          <w:rFonts w:ascii="Arial" w:cs="Arial" w:eastAsia="Arial" w:hAnsi="Arial"/>
          <w:sz w:val="17"/>
          <w:szCs w:val="17"/>
          <w:color w:val="auto"/>
        </w:rPr>
      </w:pPr>
    </w:p>
    <w:p>
      <w:pPr>
        <w:ind w:right="40" w:firstLine="464"/>
        <w:spacing w:after="0" w:line="264" w:lineRule="auto"/>
        <w:tabs>
          <w:tab w:leader="none" w:pos="7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insurer, as defined in the Law for Oversight of Insurance Transactions, 5741-1981, a banking entity or satellite entity, as such terms are defined in the Banking Law (Licensing), 5741-1981, other than a joint services company, acting for their own account or for the account of investors of the type listed in Section 15A(b) of the Securities Law 1968;</w:t>
      </w:r>
    </w:p>
    <w:p>
      <w:pPr>
        <w:spacing w:after="0" w:line="181" w:lineRule="exact"/>
        <w:rPr>
          <w:rFonts w:ascii="Arial" w:cs="Arial" w:eastAsia="Arial" w:hAnsi="Arial"/>
          <w:sz w:val="18"/>
          <w:szCs w:val="18"/>
          <w:color w:val="auto"/>
        </w:rPr>
      </w:pPr>
    </w:p>
    <w:p>
      <w:pPr>
        <w:ind w:right="80" w:firstLine="464"/>
        <w:spacing w:after="0" w:line="342" w:lineRule="auto"/>
        <w:tabs>
          <w:tab w:leader="none" w:pos="711"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123" w:lineRule="exact"/>
        <w:rPr>
          <w:rFonts w:ascii="Arial" w:cs="Arial" w:eastAsia="Arial" w:hAnsi="Arial"/>
          <w:sz w:val="16"/>
          <w:szCs w:val="16"/>
          <w:color w:val="auto"/>
        </w:rPr>
      </w:pPr>
    </w:p>
    <w:p>
      <w:pPr>
        <w:ind w:right="240" w:firstLine="464"/>
        <w:spacing w:after="0" w:line="277" w:lineRule="auto"/>
        <w:tabs>
          <w:tab w:leader="none" w:pos="7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company that is licensed as an investment advisor, as such term is defined in Section 7(c) of the Law for the Regulation of Investment Advisors and Portfolio Managers, 5755-1995, acting on its own account;</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company that is a member of the Tel Aviv Stock Exchange, acting on its own account or for the account of investors of the type listed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15A(b) of the Securities Law 1968;</w:t>
      </w:r>
    </w:p>
    <w:p>
      <w:pPr>
        <w:spacing w:after="0" w:line="103" w:lineRule="exact"/>
        <w:rPr>
          <w:sz w:val="20"/>
          <w:szCs w:val="20"/>
          <w:color w:val="auto"/>
        </w:rPr>
      </w:pPr>
    </w:p>
    <w:p>
      <w:pPr>
        <w:ind w:left="720" w:hanging="25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underwriter fulfilling the conditions of Section 56(c) of the Securities Law, 5728-1968;</w:t>
      </w:r>
    </w:p>
    <w:p>
      <w:pPr>
        <w:spacing w:after="0" w:line="225" w:lineRule="exact"/>
        <w:rPr>
          <w:rFonts w:ascii="Arial" w:cs="Arial" w:eastAsia="Arial" w:hAnsi="Arial"/>
          <w:sz w:val="18"/>
          <w:szCs w:val="18"/>
          <w:color w:val="auto"/>
        </w:rPr>
      </w:pPr>
    </w:p>
    <w:p>
      <w:pPr>
        <w:ind w:right="60" w:firstLine="464"/>
        <w:spacing w:after="0" w:line="308" w:lineRule="auto"/>
        <w:tabs>
          <w:tab w:leader="none" w:pos="711"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venture capital fund (defined as an entity primarily involved in investments in companies that, at the time of investment, (i) are primarily engaged in research and development or manufacture of new technological products or processes and (ii) involve above-average risk);</w:t>
      </w:r>
    </w:p>
    <w:p>
      <w:pPr>
        <w:spacing w:after="0" w:line="146" w:lineRule="exact"/>
        <w:rPr>
          <w:rFonts w:ascii="Arial" w:cs="Arial" w:eastAsia="Arial" w:hAnsi="Arial"/>
          <w:sz w:val="17"/>
          <w:szCs w:val="17"/>
          <w:color w:val="auto"/>
        </w:rPr>
      </w:pPr>
    </w:p>
    <w:p>
      <w:pPr>
        <w:ind w:left="680" w:hanging="216"/>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entity primarily engaged in capital markets activities in which all of the equity owners meet one or more of the above criteria; and</w:t>
      </w:r>
    </w:p>
    <w:p>
      <w:pPr>
        <w:spacing w:after="0" w:line="225" w:lineRule="exact"/>
        <w:rPr>
          <w:rFonts w:ascii="Arial" w:cs="Arial" w:eastAsia="Arial" w:hAnsi="Arial"/>
          <w:sz w:val="18"/>
          <w:szCs w:val="18"/>
          <w:color w:val="auto"/>
        </w:rPr>
      </w:pPr>
    </w:p>
    <w:p>
      <w:pPr>
        <w:ind w:right="140" w:firstLine="464"/>
        <w:spacing w:after="0" w:line="264" w:lineRule="auto"/>
        <w:tabs>
          <w:tab w:leader="none" w:pos="671"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entity, other than an entity formed for the purpose of purchasing our common stock in this offering, in which the shareholders’ equity (including pursuant to foreign accounting rules, international accounting regulations and U.S. generally accepted accounting rules, as defined in the Securities Law Regulations (Preparation of Annual Financial Statements), 1993) is in excess of NIS 250 million.</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Japan</w:t>
      </w:r>
      <w:r>
        <w:rPr>
          <w:rFonts w:ascii="Arial" w:cs="Arial" w:eastAsia="Arial" w:hAnsi="Arial"/>
          <w:sz w:val="18"/>
          <w:szCs w:val="18"/>
          <w:color w:val="auto"/>
        </w:rPr>
        <w:t>. The underwriters will not offer or sell any of our common stock directly or indirectly in Japan or to, or for the benefit of, any Japanese person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others, for re-offering or re-sale directly or indirectly in Japan or to any Japanese person, except, in each case, pursuant to an exemption from the registration requirements of,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otherwise in compliance with, the Securities and Exchange Law of Japan and any other applicable laws and regulations of Japan. For purposes of this paragraph, “Japanese person” means any person resident in Japan, including any corporation or other entity organized under the laws of Japan.</w:t>
      </w:r>
    </w:p>
    <w:p>
      <w:pPr>
        <w:spacing w:after="0" w:line="12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People’s Republic of China</w:t>
      </w:r>
      <w:r>
        <w:rPr>
          <w:rFonts w:ascii="Arial" w:cs="Arial" w:eastAsia="Arial" w:hAnsi="Arial"/>
          <w:sz w:val="18"/>
          <w:szCs w:val="18"/>
          <w:color w:val="auto"/>
        </w:rPr>
        <w:t>. This prospectus supplement may not be circulated or distributed in the People’s Republic of China, or PRC,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may not be offered or sold, and this prospectus supplement will not offer for sale any common stock to any person for re-offering or resale directly or indirectly to any resident of the PRC, except pursuant to applicable laws and regulations of the PRC. For the purpose of this paragraph, PRC does not include Taiwan and the special administrative regions of Hong Kong and Macau.</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Singapore</w:t>
      </w:r>
      <w:r>
        <w:rPr>
          <w:rFonts w:ascii="Arial" w:cs="Arial" w:eastAsia="Arial" w:hAnsi="Arial"/>
          <w:sz w:val="16"/>
          <w:szCs w:val="16"/>
          <w:color w:val="auto"/>
        </w:rPr>
        <w:t>. This prospectus supplement has not been registered as a prospectus with the Monetary Authority of Singapore. Accordingly, this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and any other document or material in connection with the offer or sale, or invitation for subscription or purchase, of our common stock may not be circulated or distributed, nor may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our common stock is subscribed or purchased under Section 275 by a relevant person that is:</w:t>
      </w:r>
    </w:p>
    <w:p>
      <w:pPr>
        <w:spacing w:after="0" w:line="117" w:lineRule="exact"/>
        <w:rPr>
          <w:sz w:val="20"/>
          <w:szCs w:val="20"/>
          <w:color w:val="auto"/>
        </w:rPr>
      </w:pPr>
    </w:p>
    <w:p>
      <w:pPr>
        <w:ind w:right="120" w:firstLine="464"/>
        <w:spacing w:after="0" w:line="277" w:lineRule="auto"/>
        <w:tabs>
          <w:tab w:leader="none" w:pos="7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corporation (that is not an accredited investor)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ind w:right="200" w:firstLine="464"/>
        <w:spacing w:after="0" w:line="264" w:lineRule="auto"/>
        <w:tabs>
          <w:tab w:leader="none" w:pos="7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our common stock under Section 275 except:</w:t>
      </w:r>
    </w:p>
    <w:p>
      <w:pPr>
        <w:spacing w:after="0" w:line="73" w:lineRule="exact"/>
        <w:rPr>
          <w:sz w:val="20"/>
          <w:szCs w:val="20"/>
          <w:color w:val="auto"/>
        </w:rPr>
      </w:pPr>
    </w:p>
    <w:p>
      <w:pPr>
        <w:ind w:right="40" w:firstLine="464"/>
        <w:spacing w:after="0" w:line="302" w:lineRule="auto"/>
        <w:tabs>
          <w:tab w:leader="none" w:pos="71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54" w:lineRule="exact"/>
        <w:rPr>
          <w:rFonts w:ascii="Arial" w:cs="Arial" w:eastAsia="Arial" w:hAnsi="Arial"/>
          <w:sz w:val="16"/>
          <w:szCs w:val="16"/>
          <w:color w:val="auto"/>
        </w:rPr>
      </w:pPr>
    </w:p>
    <w:p>
      <w:pPr>
        <w:ind w:left="720" w:hanging="25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b w:val="1"/>
          <w:bCs w:val="1"/>
          <w:i w:val="1"/>
          <w:iCs w:val="1"/>
          <w:color w:val="auto"/>
        </w:rPr>
        <w:t>Taiwan</w:t>
      </w:r>
      <w:r>
        <w:rPr>
          <w:rFonts w:ascii="Arial" w:cs="Arial" w:eastAsia="Arial" w:hAnsi="Arial"/>
          <w:sz w:val="16"/>
          <w:szCs w:val="16"/>
          <w:color w:val="auto"/>
        </w:rPr>
        <w:t>. Our common stock has not been and will not be registered or filed with, or approved by, the Financial Supervisory Commission of Taiwan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our common stock in Taiwan.</w:t>
      </w:r>
    </w:p>
    <w:p>
      <w:pPr>
        <w:spacing w:after="0" w:line="154"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b w:val="1"/>
          <w:bCs w:val="1"/>
          <w:i w:val="1"/>
          <w:iCs w:val="1"/>
          <w:color w:val="auto"/>
        </w:rPr>
        <w:t>Switzerland</w:t>
      </w:r>
      <w:r>
        <w:rPr>
          <w:rFonts w:ascii="Arial" w:cs="Arial" w:eastAsia="Arial" w:hAnsi="Arial"/>
          <w:sz w:val="17"/>
          <w:szCs w:val="17"/>
          <w:color w:val="auto"/>
        </w:rPr>
        <w:t>. Our common stock will not be publicly offered in Switzerland and will not be listed on the SIX Swiss Exchange (“SIX”) or on any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Neither this prospectus supplement nor any other offering or marketing material relating to our company or our common stock has been or will be filed with or approved by any Swiss regulatory authority. In particular, this prospectus supplement will not be filed with, and the offer of our common stock will not be supervised by, the Swiss Financial Market Supervisory Authority, and the offer of our common stock has not been and will not be authorized under the Swiss Federal Act on Collective Investment Schemes (the “CISA’’). The investor protection afforded to acquirers of interests in collective investment schemes under the CISA does not extend to acquirers of our common stock.</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United Arab Emirates and Dubai International Financial Centre</w:t>
      </w:r>
      <w:r>
        <w:rPr>
          <w:rFonts w:ascii="Arial" w:cs="Arial" w:eastAsia="Arial" w:hAnsi="Arial"/>
          <w:sz w:val="18"/>
          <w:szCs w:val="18"/>
          <w:color w:val="auto"/>
        </w:rPr>
        <w:t>. This offering of our common stock has not been approved or licensed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Central Bank of the United Arab Emirates (the “UAE”), the Emirates Securities and Commodities Authority or any other relevant licensing authority in the UAE, including any licensing authority incorporated under the laws and regulations of any of the free zones established and operating in the territory of the UAE, in particular the Dubai Financial Services Authority (the “DFSA’’), a regulatory authority of the Dubai International Financial Centre (the “DIFC”). This offering does not constitute a public offer of securities in the UAE, DIFC and/or any other free zone in accordance with the Commercial Companies Law, Federal Law No. 8 of 1984 (as amended), DFSA Offered Securities Rules and the Dubai International Financial Exchange Listing Rules, respectively, or otherwise.</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common stock may not be offered to the public in the UAE and/or any of the free zones. Our common stock may be offered, and this prospectus supplement may be issued, only to a limited number of investors in the UAE or any of its free zones who qualify as sophisticated investors under the relevant laws and regulations of the UAE or the free zone concerned. Our common stock will not be offered, sold, transferred or delivered to the public in the UAE or any of its free zones.</w:t>
      </w:r>
    </w:p>
    <w:p>
      <w:pPr>
        <w:spacing w:after="0" w:line="187"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b w:val="1"/>
          <w:bCs w:val="1"/>
          <w:i w:val="1"/>
          <w:iCs w:val="1"/>
          <w:color w:val="auto"/>
        </w:rPr>
        <w:t>United Kingdom</w:t>
      </w:r>
      <w:r>
        <w:rPr>
          <w:rFonts w:ascii="Arial" w:cs="Arial" w:eastAsia="Arial" w:hAnsi="Arial"/>
          <w:sz w:val="17"/>
          <w:szCs w:val="17"/>
          <w:color w:val="auto"/>
        </w:rPr>
        <w:t>. An offer of our common stock may not be made to the public in the United Kingdom within the meaning of Section 102B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Services and Markets Act 2000, as amended, or the FSMA, except to legal entities that are authorized or regulated to operate in the financial markets or, if not so authorized or regulated, whose corporate purpose is solely to invest in securities or otherwise in circumstances that do not require the publication by the company of a prospectus pursuant to the Prospectus Rules of the Financial Services Authority, or the FSA.</w:t>
      </w:r>
    </w:p>
    <w:p>
      <w:pPr>
        <w:spacing w:after="0" w:line="17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An invitation or inducement to engage in investment activity (within the meaning of Section 21 of FSMA) may only be communicated to persons who have professional experience in matters relating to investments falling within Article 19(5) of the Financial Services and Markets Act 2000 (Financial Promotion) Order 2005 or in circumstances in which Section 21 of FSMA does not apply to us.</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All applicable provisions of the FSMA with respect to anything done by the underwriters in relation to our common stock in, from or otherwise involving the United Kingdom must be complied with.</w:t>
      </w:r>
    </w:p>
    <w:p>
      <w:pPr>
        <w:spacing w:after="0" w:line="17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b w:val="1"/>
          <w:bCs w:val="1"/>
          <w:i w:val="1"/>
          <w:iCs w:val="1"/>
          <w:color w:val="auto"/>
        </w:rPr>
        <w:t>Russia</w:t>
      </w:r>
      <w:r>
        <w:rPr>
          <w:rFonts w:ascii="Arial" w:cs="Arial" w:eastAsia="Arial" w:hAnsi="Arial"/>
          <w:sz w:val="18"/>
          <w:szCs w:val="18"/>
          <w:color w:val="auto"/>
        </w:rPr>
        <w:t>. The common stock to which this prospectus supplement relates will not be offered, advertised, transferred or sold as part of their initial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or at any time thereafter to or for the benefit of any persons (including legal entities) resident, incorporated, established or having their usual residence in Russia or to any person located within the territory of Russia who is not a qualified investor in accordance with Russian law unless and to the extent otherwise permitted under Russian law.</w:t>
      </w:r>
    </w:p>
    <w:p>
      <w:pPr>
        <w:spacing w:after="0" w:line="18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This prospectus supplement should not be considered as a public offer or advertisement of the common stock to which this prospectus supplement relates in Russia and is not an offer, or an invitation to make offers, to purchase any such common stock in Russia. Neither the common stock nor any prospectus or other document relating to the common stock has been registered with the Central Bank of the Russian Federation and is not intended for “placement” or “public circulation” in Russia.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validity of the common stock to be issued in this offering and certain other legal matters with respect to the offering will be passed upon for us by O’Melveny &amp; Myers LLP. Certain legal matters in connection with this offering will be passed upon for the underwriters by Latham &amp; Watkins LLP, Los Angeles, California.</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consolidated financial statements of Sportsman’s Warehouse Holdings, Inc. as of January 30, 2016 and January 31, 2015, and for each of the fiscal years in the three-year period ended January 30, 2016, have been incorporated by reference herein in reliance upon the report of KPMG LLP, independent registered public accounting firm, incorporated by reference herein, and upon the authority of said firm as experts in accounting and auditing.</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20320</wp:posOffset>
            </wp:positionV>
            <wp:extent cx="1680845" cy="780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8084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Sportsman’s Warehouse Holdings, Inc.</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$125,000,000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Common Stock</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Preferred Stock</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Debt Securities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Warrants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Rights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Units</w:t>
      </w:r>
    </w:p>
    <w:p>
      <w:pPr>
        <w:spacing w:after="0" w:line="61" w:lineRule="exact"/>
        <w:rPr>
          <w:sz w:val="20"/>
          <w:szCs w:val="20"/>
          <w:color w:val="auto"/>
        </w:rPr>
      </w:pPr>
    </w:p>
    <w:p>
      <w:pPr>
        <w:ind w:left="5520"/>
        <w:spacing w:after="0"/>
        <w:rPr>
          <w:sz w:val="20"/>
          <w:szCs w:val="20"/>
          <w:color w:val="auto"/>
        </w:rPr>
      </w:pPr>
      <w:r>
        <w:rPr>
          <w:rFonts w:ascii="Arial" w:cs="Arial" w:eastAsia="Arial" w:hAnsi="Arial"/>
          <w:sz w:val="23"/>
          <w:szCs w:val="23"/>
          <w:b w:val="1"/>
          <w:bCs w:val="1"/>
          <w:color w:val="auto"/>
        </w:rPr>
        <w:t>and</w:t>
      </w:r>
    </w:p>
    <w:p>
      <w:pPr>
        <w:spacing w:after="0" w:line="73" w:lineRule="exact"/>
        <w:rPr>
          <w:sz w:val="20"/>
          <w:szCs w:val="20"/>
          <w:color w:val="auto"/>
        </w:rPr>
      </w:pPr>
    </w:p>
    <w:p>
      <w:pPr>
        <w:ind w:left="4820"/>
        <w:spacing w:after="0"/>
        <w:rPr>
          <w:sz w:val="20"/>
          <w:szCs w:val="20"/>
          <w:color w:val="auto"/>
        </w:rPr>
      </w:pPr>
      <w:r>
        <w:rPr>
          <w:rFonts w:ascii="Arial" w:cs="Arial" w:eastAsia="Arial" w:hAnsi="Arial"/>
          <w:sz w:val="23"/>
          <w:szCs w:val="23"/>
          <w:b w:val="1"/>
          <w:bCs w:val="1"/>
          <w:color w:val="auto"/>
        </w:rPr>
        <w:t>23,993,990 Shares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Common Stock</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153035</wp:posOffset>
            </wp:positionV>
            <wp:extent cx="15176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3"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From time to time, we may offer and sell up to $125,000,000 in aggregate of the securities described in this prospectus separately or together in any combination, in one or more classes or series, in amounts, at prices and on terms that we will determine at the time of the offering.</w:t>
      </w:r>
    </w:p>
    <w:p>
      <w:pPr>
        <w:spacing w:after="0" w:line="6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addition, the selling stockholders identified in this prospectus may, from time to time, offer and sell up to 23,993,990 shares of our common stock. The registration of the shares of our common stock covered by this prospectus does not necessarily mean that any of our common stock will be sold by the selling stockholders. We will not receive any proceeds from the resale of shares of common stock from time to time by the selling stockholders, but we have agreed to pay all registration expenses other than brokerage commissions, transfer taxes, or, if applicable, underwriting commissions and discounts.</w:t>
      </w:r>
    </w:p>
    <w:p>
      <w:pPr>
        <w:spacing w:after="0" w:line="8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This prospectus provides a general description of the securities we may offer. We may provide specific terms of securities to be offered in one or more supplements to this prospectus. We may also provide a specific plan of distribution for any securities to be offered in a prospectus supplement. Prospectus supplements may also add, update or change information in this prospectus. You should carefully read this prospectus and the applicable prospectus supplement, together with any documents incorporated by reference herein, before you invest in our securities.</w:t>
      </w:r>
    </w:p>
    <w:p>
      <w:pPr>
        <w:spacing w:after="0" w:line="8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common stock is listed on The NASDAQ Global Select Market, or NASDAQ, under the symbol “SPWH.” On July 13, 2015, the last reported sale price of our common stock was $12.64 per share. The applicable prospectus supplement will contain information, where applicable, as to the listing of any other securities covered by the prospectus supplement other than our common stock on NASDAQ or any other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140335</wp:posOffset>
            </wp:positionV>
            <wp:extent cx="15176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5" w:lineRule="exact"/>
        <w:rPr>
          <w:sz w:val="20"/>
          <w:szCs w:val="20"/>
          <w:color w:val="auto"/>
        </w:rPr>
      </w:pPr>
    </w:p>
    <w:p>
      <w:pPr>
        <w:jc w:val="both"/>
        <w:ind w:right="2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any of our securities involves a high degree of risk. Please read carefully the section entitled “</w:t>
      </w:r>
      <w:hyperlink w:anchor="page4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6 of this prospectus, the “Risk Factors” section contained in the applicable prospectus supplement and the information included and incorporated by reference in this prospectus.</w:t>
      </w:r>
    </w:p>
    <w:p>
      <w:pPr>
        <w:spacing w:after="0" w:line="6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an “emerging growth company” under applicable Securities and Exchange Commission rules and will be eligible for reduced public company reporting requirements.</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123190</wp:posOffset>
            </wp:positionV>
            <wp:extent cx="15176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date of this prospectus is July 14, 2015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140" w:type="dxa"/>
            <w:vAlign w:val="bottom"/>
            <w:gridSpan w:val="2"/>
          </w:tcPr>
          <w:p>
            <w:pPr>
              <w:ind w:left="88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20" w:type="dxa"/>
            <w:vAlign w:val="bottom"/>
            <w:gridSpan w:val="18"/>
            <w:vMerge w:val="restart"/>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About This Prospectus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18"/>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Where You Can Find More Information</w:t>
              </w:r>
            </w:hyperlink>
          </w:p>
        </w:tc>
        <w:tc>
          <w:tcPr>
            <w:tcW w:w="8140" w:type="dxa"/>
            <w:vAlign w:val="bottom"/>
            <w:gridSpan w:val="4"/>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Information We Incorporate by Reference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Special Note Regarding Forward-Looking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Sportsman’s Warehouse Holdings, Inc.</w:t>
              </w:r>
            </w:hyperlink>
          </w:p>
        </w:tc>
        <w:tc>
          <w:tcPr>
            <w:tcW w:w="71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Risk Factors</w:t>
              </w:r>
            </w:hyperlink>
          </w:p>
        </w:tc>
        <w:tc>
          <w:tcPr>
            <w:tcW w:w="1880" w:type="dxa"/>
            <w:vAlign w:val="bottom"/>
            <w:tcBorders>
              <w:top w:val="single" w:sz="8" w:color="0000EE"/>
            </w:tcBorders>
            <w:gridSpan w:val="11"/>
          </w:tcPr>
          <w:p>
            <w:pPr>
              <w:spacing w:after="0"/>
              <w:rPr>
                <w:sz w:val="17"/>
                <w:szCs w:val="17"/>
                <w:color w:val="auto"/>
              </w:rPr>
            </w:pPr>
          </w:p>
        </w:tc>
        <w:tc>
          <w:tcPr>
            <w:tcW w:w="822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Ratio of Earnings to Fixed Charges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Use of Proceeds</w:t>
              </w:r>
            </w:hyperlink>
          </w:p>
        </w:tc>
        <w:tc>
          <w:tcPr>
            <w:tcW w:w="1360" w:type="dxa"/>
            <w:vAlign w:val="bottom"/>
            <w:tcBorders>
              <w:top w:val="single" w:sz="8" w:color="0000EE"/>
            </w:tcBorders>
            <w:gridSpan w:val="8"/>
          </w:tcPr>
          <w:p>
            <w:pPr>
              <w:spacing w:after="0"/>
              <w:rPr>
                <w:sz w:val="17"/>
                <w:szCs w:val="17"/>
                <w:color w:val="auto"/>
              </w:rPr>
            </w:pPr>
          </w:p>
        </w:tc>
        <w:tc>
          <w:tcPr>
            <w:tcW w:w="84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Certain Relationships and Related Party Transactions with Selling Stockholders</w:t>
              </w:r>
            </w:hyperlink>
          </w:p>
        </w:tc>
        <w:tc>
          <w:tcPr>
            <w:tcW w:w="52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Selling Stockholders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2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Capital Stock</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2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Description of Debt Securities</w:t>
              </w:r>
            </w:hyperlink>
          </w:p>
        </w:tc>
        <w:tc>
          <w:tcPr>
            <w:tcW w:w="882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Description of Warrants</w:t>
              </w:r>
            </w:hyperlink>
          </w:p>
        </w:tc>
        <w:tc>
          <w:tcPr>
            <w:tcW w:w="928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Description of Rights</w:t>
              </w:r>
            </w:hyperlink>
          </w:p>
        </w:tc>
        <w:tc>
          <w:tcPr>
            <w:tcW w:w="946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69">
              <w:r>
                <w:rPr>
                  <w:rFonts w:ascii="Arial" w:cs="Arial" w:eastAsia="Arial" w:hAnsi="Arial"/>
                  <w:sz w:val="18"/>
                  <w:szCs w:val="18"/>
                  <w:color w:val="0000EE"/>
                  <w:w w:val="93"/>
                </w:rPr>
                <w:t>Description of Units</w:t>
              </w:r>
            </w:hyperlink>
          </w:p>
        </w:tc>
        <w:tc>
          <w:tcPr>
            <w:tcW w:w="952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70">
              <w:r>
                <w:rPr>
                  <w:rFonts w:ascii="Arial" w:cs="Arial" w:eastAsia="Arial" w:hAnsi="Arial"/>
                  <w:sz w:val="18"/>
                  <w:szCs w:val="18"/>
                  <w:color w:val="0000EE"/>
                  <w:w w:val="93"/>
                </w:rPr>
                <w:t>Plan of Distribution</w:t>
              </w:r>
            </w:hyperlink>
          </w:p>
        </w:tc>
        <w:tc>
          <w:tcPr>
            <w:tcW w:w="958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Legal Matters</w:t>
              </w:r>
            </w:hyperlink>
          </w:p>
        </w:tc>
        <w:tc>
          <w:tcPr>
            <w:tcW w:w="1000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Experts</w:t>
              </w:r>
            </w:hyperlink>
          </w:p>
        </w:tc>
        <w:tc>
          <w:tcPr>
            <w:tcW w:w="1046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or continuous offering process. Under this shelf registration process, we may, from time to time, sell any combination of the securities described in this prospectus in one or more offerings up to a total aggregate offering price of $125,000,000 and our selling stockholders may sell up to 23,993,990 shares of common stock in one or more offerings.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prospectus provides a general description of the securities we may offer. We may provide specific terms of securities to be offered in one or more supplements to this prospectus. We may also provide a specific plan of distribution for any securities to be offered in a prospectus supplement. Prospectus supplements may also add, update or change information in this prospectus. If the information varies between this prospectus and the accompanying prospectus supplement, you should rely on the information in the accompanying prospectus supplement.</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Before purchasing any securities, you should carefully read both this prospectus and any prospectus supplement, together with the additional information described under the heading “Information We Incorporate by Reference.” You should rely only on the information contained or incorporated by reference in this prospectus, any prospectus supplement and any free writing prospectus prepared by or on behalf of us or to which we have referred you. None of us, any selling stockholder, or any underwriters have authorized any other person to provide you with different information. If anyone provides you with different or inconsistent information, you should not rely on it. We take no responsibility for, and can provide no assurance as to the reliability of, any other information that others may give you. You should assume that the information contained in this prospectus, any prospectus supplement or any free writing prospectus is accurate only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prospectus and any applicable prospectus supplement do not constitute an offer to sell or the solicitation of an offer to buy any securities other than the registered securities to which they relate. Neither we nor any selling stockholder are making offers to sell common stock or any other securities described in this prospectus in any jurisdiction in which an offer or solicitation is not authorized or in which the person making such offer or solicitation is not qualified to do so or to anyone to whom it is unlawful to make an offer or solicitation.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expressly indicated or the context otherwise requires, we use the terms “Sportsman’s Warehouse,” the “Company,” “we,” “us,” “our” or similar references to refer to Sportsman’s Warehouse, Inc. and its subsidiaries.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filed our registration statement on Form S-3 with the SEC under the Securities Act of 1933, as amended, or the Securities Act. We also file annual, quarterly and current reports, proxy statements and other information with the SEC. You may read and copy any document that we file with the SEC, including the registration statement and the exhibits to the registration statement, at the SEC’s Public Reference Room located at 100 F Street, N.E., Washington D.C. 20549. You may obtain further information on the operation of the Public Reference Room by calling the SEC at 1-800-SEC-0330. Our SEC filings are also available to the public at the SEC’s web site at www.sec.gov. These documents may also be accessed on our web site at www.sportsmanswarehouse.com. Information contained on our web site is not incorporated by reference into this prospectus and you should not consider information contained on our web site to be part of this prospectus.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prospectus and any prospectus supplement are part of a registration statement filed with the SEC and do not contain all of the information in the registration statement. The full registration statement may be obtained from the SEC or us as indicated above. Forms of any indenture or other documents establishing the terms of the offered securities are filed as exhibits to the registration statement or will be filed through an amendment to our registration statement on Form S-3 or under cover of a Current Report on Form 8-K and incorporated into this prospectus by reference.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WE INCORPORATE BY REFERENCE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SEC allows us to “incorporate by reference” into this prospectus the information we file with it, which means that we can disclose important information to you by referring you to those documents. The information incorporated by reference is considered to be part of this prospectus. 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We incorporate by reference in this prospectus the following information (other than, in each case, documents or information deemed to have been furnished and not filed in accordance with SEC rules):</w:t>
      </w:r>
    </w:p>
    <w:p>
      <w:pPr>
        <w:spacing w:after="0" w:line="84"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January 31, 2015 (filed with the SEC on April 2, 2015);</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year ended January 31, 2015 from our Definitive Proxy Statement on Schedule 14A (filed with the SEC on April 30, 2015);</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Quarterly Report on Form 10-Q for the quarterly period ended May 2, 2015 (filed with the SEC on May 29,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Current Reports on Form 8-K filed on March 11, 2015 and June 29, 2015;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description of our common stock in our Registration Statement on Form S-1 (File No. 333-194421) filed with the SEC on March 7, 2014, including any amendments and reports filed for the purpose of updating such description.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incorporate by reference each of the documents that we file with the SEC under Sections 13(a), 13(c), 14 or 15(d) of the Securities Exchange Act of 1934, as amended, or the Exchange Act, on or after the date of this prospectus and prior to the termination of the offerings under this prospectus and any prospectus supplement. These documents include periodic reports, such as Annual Reports on Form 10-K, Quarterly Reports on Form 10-Q and Current Reports on Form 8-K, as well as proxy statements. We will not, however, incorporate by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reference in this prospectus any documents or portions thereof that are not deemed “filed” with the SEC, including any information furnished pursuant to Item 2.02 or Item 7.01 of our Current Reports on Form 8-K after the date of this prospectus unless, and except to the extent, specified in such Current Reports.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provide to each person, including any beneficial owner, to whom a prospectus (or a notice of registration in lieu thereof) is delivered a copy of any of these filings (other than an exhibit to these filings, unless the exhibit is specifically incorporated by reference as an exhibit to this prospectus) at no cost, upon a request to us by writing or telephoning us at the following address and telephone number:</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Sportsman’s Warehouse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7035 South High Tech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Midvale, Utah 84047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Number: (801) 566-6681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prospectus, including the documents incorporated by reference herein, may contain or incorporate forward-looking statements within the meaning of the Private Securities Litigation Reform Act of 1995, as amended. All statements other than statements of historical fact included in this prospectus, including the documents incorporated by reference herein, are forward-looking statements. These statements may include words such as “aim,” “anticipate,” “assume,” “believe,” “can have,” “could,” “due,” “estimate,” “expect,” “goal,” “intend,” “likely,” “may,” “objective,” “plan,” “potential,” “positioned,”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predicting the impact of known factors is very difficult, and we cannot anticipate all factors that could affect our actual results.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All of our forward-looking statements are subject to risks and uncertainties that may cause our actual results to differ materially from our expectations.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Important factors that could cause actual results to differ materially from our expectations include, but are not limited to:</w:t>
      </w:r>
    </w:p>
    <w:p>
      <w:pPr>
        <w:spacing w:after="0" w:line="116" w:lineRule="exact"/>
        <w:rPr>
          <w:sz w:val="20"/>
          <w:szCs w:val="20"/>
          <w:color w:val="auto"/>
        </w:rPr>
      </w:pPr>
    </w:p>
    <w:p>
      <w:pPr>
        <w:ind w:left="9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retail-based business model is impacted by general economic conditions and economic and financial uncertainties may cause a decline in consumer spending;</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concentration of stores in the Western United States makes us susceptible to adverse conditions in this region, which could affect our sales and cause our operating results to suffer;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operate in a highly fragmented and competitive industry and may face increased competition;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not be able to anticipate, identify and respond to changes in consumer demands, including regional preferences, in a timely manner;</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successful in operating our stores in any existing or new markets into which we expand; and</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current and future government regulations, in particular regulations relating to the sale of firearms and ammunition, may impact the demand for our products and our ability to conduct our business.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“Item 1A. Risk Factors,” in our Annual Report on Form 10-K for the year ended January 31, 2015, as such risk factors may be amended, supplemented or superseded from time to time by other reports we file with the Securities and Exchange Commission (the “SEC”), including subsequent Annual Reports on Form 10-K and Quarterly Reports on Form 10-Q, and in any prospectus supplement.</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on which they are made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SPORTSMAN’S WAREHOUSE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 high-growth outdoor sporting goods retailer focused on meeting the everyday needs of the seasoned outdoor veteran, the first-time participant and every enthusiast in between. Our mission is to provide a one-stop shopping experience that equips our customers with the right hunting, shooting, fishing and camping gear to maximize their enjoyment of the outdoors. We strive to accomplish this goal by tailoring our broad and deep merchandise assortment to meet local conditions and demand, offering everyday low prices, providing friendly support from our knowledgeable, highly trained staff and offering extensive in-store events and educational programming. These core strategies help position Sportsman’s Warehouse as the “local outdoor experts” and the preferred place to both shop and share outdoor-based experiences in the communities we serve. As a result, we are expanding our loyal customer base in existing markets and increasing our store footprint in new markets, which we believe will further drive our growth and profitability.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were founded in 1986 as a single retail store in Midvale, Utah and have grown to 58 stores across 18 states. Today, we have the largest outdoor specialty store base in the Western United States and Alaska. Our store layout is adaptable to both standalone locations and strip centers. Based on publicly available information, we believe it is less capital-intensive for us to open new stores compared to our principal competitors because our “no frills” store layout requires less initial cash investment to build out and our stores generally require less square footage than the stores of our competitors. Together, these features enable us to effectively serve markets of multiple sizes, from Metropolitan Statistical Areas, or MSAs, with populations of less than 75,000 to major metropolitan areas with populations in excess of 1,000,000, while generating consistent four-wall Adjusted EBITDA margins and returns on invested capital across a range of store sales volumes.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 and Information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4, 2013, our predecessor, previously a Utah corporation, reincorporated in Delaware by merging with its wholly owned subsidiary SWH Merger Sub, Inc., a Delaware corporation, with the Delaware corporation being the surviving entity and being renamed Sportsman’s Warehouse Holdings, Inc.</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Affiliates of Seidler Equity Partners III, L.P. (collectively, “Seidler”), initially invested in us in 2007 and, prior to the consummation of our IPO, beneficially owned all of our outstanding common stock. Seidler currently beneficially owns approximately 52.5% of our outstanding common stock. We qualify for the “controlled company” exemption under the corporate governance rules of The NASDAQ Stock Market and will continue to until affiliates of Seidler do not control a majority of our outstanding common stock.</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of our business operations are conducted through our wholly owned subsidiaries, Sportsman’s Warehouse, Inc., a Utah corporation, and Minnesota Merchandising Corporation, a Minnesota corporation, and their subsidiaries. Our principal executive office is located at 7035 South High Tech Drive, Midvale, Utah 84047, our telephone number is (801) 566-6681 and our fax number is (801) 304-4388. Our website is www.sportsmanswarehouse.com. However, the information located on, or accessible from, our website is not, and should not be deemed to be, part of this prospectus, any accompanying prospectus supplement or any free writing prospectus or incorporated into any other filing that we submit to the SEC.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Investing in our securities involves a high degree of risk. Before making an investment decision, you should carefully consider any risk factors set forth in the applicable prospectus supplement and the documents incorporated by reference in this prospectus, including the factors discussed under the heading “Risk Factors” in our most recent Annual Report on Form 10-K and each subsequently filed Quarterly Report on Form 10-Q and any risk factors set forth in our other filings with the SEC pursuant to Sections 13(a), 13(c), 14 or 15(d) of the Securities Exchange. See “Where You Can Find More Information” and “Information We Incorporate By Reference.” Each of the risks described in these documents could materially and adversely affect our business, financial condition, results of operations and prospects, and could result in a partial or complete loss of your investment. Additional risks and uncertainties not presently known to us, or that we currently deem immaterial, may also adversely affect our business. In addition, past financial performance may not be a reliable indicator of future performance and historical trends should not be used to anticipate results or trends in future periods.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The following table is qualified by the more detailed information appearing in the computation table set forth in Exhibit 12.1 to the registration statement of which this prospectus is part and the historical financial statements, including the notes to those financial statements, incorporated by reference in this prospectus.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Thirteen Weeks</w:t>
            </w:r>
          </w:p>
        </w:tc>
        <w:tc>
          <w:tcPr>
            <w:tcW w:w="7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2"/>
              </w:rPr>
              <w:t>Fiscal Year Ended</w:t>
            </w:r>
          </w:p>
        </w:tc>
        <w:tc>
          <w:tcPr>
            <w:tcW w:w="7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900" w:type="dxa"/>
            <w:vAlign w:val="bottom"/>
          </w:tcPr>
          <w:p>
            <w:pPr>
              <w:spacing w:after="0"/>
              <w:rPr>
                <w:sz w:val="10"/>
                <w:szCs w:val="10"/>
                <w:color w:val="auto"/>
              </w:rPr>
            </w:pPr>
          </w:p>
        </w:tc>
        <w:tc>
          <w:tcPr>
            <w:tcW w:w="152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Ended May 2,</w:t>
            </w:r>
          </w:p>
        </w:tc>
        <w:tc>
          <w:tcPr>
            <w:tcW w:w="128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January 31,</w:t>
            </w:r>
          </w:p>
        </w:tc>
        <w:tc>
          <w:tcPr>
            <w:tcW w:w="92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February 1,</w:t>
            </w:r>
          </w:p>
        </w:tc>
        <w:tc>
          <w:tcPr>
            <w:tcW w:w="380" w:type="dxa"/>
            <w:vAlign w:val="bottom"/>
          </w:tcPr>
          <w:p>
            <w:pPr>
              <w:spacing w:after="0"/>
              <w:rPr>
                <w:sz w:val="10"/>
                <w:szCs w:val="10"/>
                <w:color w:val="auto"/>
              </w:rPr>
            </w:pPr>
          </w:p>
        </w:tc>
        <w:tc>
          <w:tcPr>
            <w:tcW w:w="130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February 2,</w:t>
            </w:r>
          </w:p>
        </w:tc>
        <w:tc>
          <w:tcPr>
            <w:tcW w:w="130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January 28,</w:t>
            </w: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January 29,</w:t>
            </w:r>
          </w:p>
        </w:tc>
        <w:tc>
          <w:tcPr>
            <w:tcW w:w="100" w:type="dxa"/>
            <w:vAlign w:val="bottom"/>
          </w:tcPr>
          <w:p>
            <w:pPr>
              <w:spacing w:after="0"/>
              <w:rPr>
                <w:sz w:val="10"/>
                <w:szCs w:val="10"/>
                <w:color w:val="auto"/>
              </w:rPr>
            </w:pPr>
          </w:p>
        </w:tc>
      </w:tr>
      <w:tr>
        <w:trPr>
          <w:trHeight w:val="171"/>
        </w:trPr>
        <w:tc>
          <w:tcPr>
            <w:tcW w:w="39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560" w:type="dxa"/>
            <w:vAlign w:val="bottom"/>
          </w:tcPr>
          <w:p>
            <w:pPr>
              <w:spacing w:after="0"/>
              <w:rPr>
                <w:sz w:val="14"/>
                <w:szCs w:val="14"/>
                <w:color w:val="auto"/>
              </w:rPr>
            </w:pPr>
          </w:p>
        </w:tc>
        <w:tc>
          <w:tcPr>
            <w:tcW w:w="740" w:type="dxa"/>
            <w:vAlign w:val="bottom"/>
          </w:tcPr>
          <w:p>
            <w:pPr>
              <w:jc w:val="right"/>
              <w:ind w:right="144"/>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4"/>
                <w:szCs w:val="14"/>
                <w:color w:val="auto"/>
              </w:rPr>
            </w:pPr>
          </w:p>
        </w:tc>
        <w:tc>
          <w:tcPr>
            <w:tcW w:w="740" w:type="dxa"/>
            <w:vAlign w:val="bottom"/>
          </w:tcPr>
          <w:p>
            <w:pPr>
              <w:jc w:val="right"/>
              <w:ind w:right="144"/>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112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6"/>
              </w:rPr>
              <w:t>2013</w:t>
            </w:r>
          </w:p>
        </w:tc>
        <w:tc>
          <w:tcPr>
            <w:tcW w:w="560" w:type="dxa"/>
            <w:vAlign w:val="bottom"/>
          </w:tcPr>
          <w:p>
            <w:pPr>
              <w:spacing w:after="0"/>
              <w:rPr>
                <w:sz w:val="14"/>
                <w:szCs w:val="14"/>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4"/>
                <w:szCs w:val="14"/>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9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7"/>
              </w:rPr>
              <w:t>0.64x(1)</w:t>
            </w:r>
          </w:p>
        </w:tc>
        <w:tc>
          <w:tcPr>
            <w:tcW w:w="5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1.95x</w:t>
            </w:r>
          </w:p>
        </w:tc>
        <w:tc>
          <w:tcPr>
            <w:tcW w:w="5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2.02x</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0"/>
              </w:rPr>
              <w:t>5.01x</w:t>
            </w:r>
          </w:p>
        </w:tc>
        <w:tc>
          <w:tcPr>
            <w:tcW w:w="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6"/>
              </w:rPr>
              <w:t>3.49x</w:t>
            </w:r>
          </w:p>
        </w:tc>
        <w:tc>
          <w:tcPr>
            <w:tcW w:w="5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1.78x</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Earning were insufficient to cover fixed charges in the amount of $2.2 million for the thirteen weeks ended May 2, 2015.</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computing the ratio of earnings to fixed charges, earnings include pre-tax income (loss) and fixed charges. Fixed charges consist of interest expense and the interest portion of rent expense.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was no preferred stock outstanding for any of the periods shown above. Accordingly, the ratio of earnings to combined fixed charges and preferred stock dividends was identical to the ratio of earnings to fixed charges for each period.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will retain broad discretion over the use of the net proceeds from the sale of the securities offered hereby. Unless otherwise specified in any prospectus supplement, we currently intend to use the net proceeds from the sale of our securities offered under this prospectus for working capital and general corporate purposes including, but not limited to, capital expenditures, working capital, and other business opportunities, or for repayment of debt. Pending any specific application, we may initially invest funds in short-term marketable securities or apply them to the reduction of short-term indebtedness.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will not receive any proceeds from the sale of shares of our common stock that may be sold from time to time pursuant to this prospectus by the selling stockholders. We will bear the costs associated with this registration in accordance with the registration rights agreement. However, the selling stockholders will bear any brokerage commissions, transfer taxes, or underwriting commissions and discounts attributable to their sale of shares of our common stock.</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CERTAIN RELATIONSHIPS AND RELATED PARTY TRANSACTIONS WITH SELLING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entered into a registration rights agreement with affiliates of Seidler where we grant to Seidler registration rights for the common stock it beneficially owns. Under the registration rights agreement, Seidler may require us to use our reasonable best efforts to register for resale their registrable shares of our common stock under the Securities Act. These registration rights include the following provisions: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Demand Registration Rights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will grant up to three demand registrations to affiliates of Seidler so long as the holders of 20% of our common stock held</w:t>
      </w:r>
      <w:r>
        <w:rPr>
          <w:rFonts w:ascii="Arial" w:cs="Arial" w:eastAsia="Arial" w:hAnsi="Arial"/>
          <w:sz w:val="18"/>
          <w:szCs w:val="18"/>
          <w:i w:val="1"/>
          <w:iCs w:val="1"/>
          <w:color w:val="auto"/>
        </w:rPr>
        <w:t xml:space="preserve"> </w:t>
      </w:r>
      <w:r>
        <w:rPr>
          <w:rFonts w:ascii="Arial" w:cs="Arial" w:eastAsia="Arial" w:hAnsi="Arial"/>
          <w:sz w:val="18"/>
          <w:szCs w:val="18"/>
          <w:color w:val="auto"/>
        </w:rPr>
        <w:t>by affiliates of Seidler and their permitted transferees request such registration.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Form S-3 Registration Rights. </w:t>
      </w:r>
      <w:r>
        <w:rPr>
          <w:rFonts w:ascii="Arial" w:cs="Arial" w:eastAsia="Arial" w:hAnsi="Arial"/>
          <w:sz w:val="18"/>
          <w:szCs w:val="18"/>
          <w:color w:val="auto"/>
        </w:rPr>
        <w:t>At such time as we have qualified for the use of Form S-3, affiliates of Seidler and certain of their permitted transferees may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us to use our reasonable best efforts to register the resale of any of their registrable shares on Form S-3.</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Piggyback Registration Rights. </w:t>
      </w:r>
      <w:r>
        <w:rPr>
          <w:rFonts w:ascii="Arial" w:cs="Arial" w:eastAsia="Arial" w:hAnsi="Arial"/>
          <w:sz w:val="17"/>
          <w:szCs w:val="17"/>
          <w:color w:val="auto"/>
        </w:rPr>
        <w:t>If at any time, we propose to file a registration statement under the Securities Act for our common stock (excluding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of which this prospectus forms a part or any registration on Form S-4 or Form S-8), we will offer to include the registrable shares of Seidler and certain of their permitted transferees in the registration statement subject only to a determination by the managing underwriter that the success of the marketing (including pricing) would not be adversely affected by the inclusion of securities of the parties.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are responsible for paying all registration expenses in connection with any registration pursuant to the registration rights agreement,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any underwriting fees, commissions, discounts and allowances, and fees of underwriter’s counsel (other than “blue sky”).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We have agreed to indemnify each of the stockholders party to the registration rights agreement against certain liabilities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in connection with any registration of their registrable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entered into indemnification agreements with each of our current executive officers and directors. These agreements require us to indemnify these individuals to the fullest extent permitted under Delaware law against liabilities that may arise by reason of their service to us, and to advance expenses reasonably incurred as a result of any proceeding against them as to which they could be indemnified. Additionally, we may enter into indemnification agreements with any future directors or executive officers. See “Description of Capital Stock—Limitation on Liability of Directors and Officers.”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board of directors has adopted a formal written policy providing that our audit committee is responsible for reviewing “related party transactions,” which are transactions (i) in which we are or will be a participant, (ii) in which the aggregate amount involved exceeds or may be expected to exceed $120,000, or such lower threshold as our audit committee may determine, and (iii) in which a related person has or will have a direct or indirect material interest. For purposes of this policy, a related person will be defined as a director, nominee for director, executive officer or greater than 5% beneficial owner of our common stock and their immediate family members. Under this policy, all related party transactions may be consummated or continued only if approved or ratified by our audit committee. In reviewing and approving any such transactions, our audit committee will be tasked to consider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member of our audit committee may participate in the review, approval or ratification of a transaction with respect to which he or she is a related party, except that such member can be counted for purposes of a quorum and shall provide such information with respect to the transaction as may be reasonably requested by other members of the committee.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selling stockholders named below may offer from time to time in the future up to an aggregate of 23,993,990 shares of our common stock, subject to adjustments for stock splits, stock dividends and reclassifications. The following table sets forth the names of the selling stockholders (and/or the beneficial owners) and the number of shares of common stock held by each of them as of the date of this prospectus.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Information in the table below with respect to beneficial ownership has been furnished by each of the selling stockholders. There are currently no agreements, arrangements or understandings with respect to the sale of any of the shares. The shares are being registered to permit public secondary trading of the shares, and selling stockholders may offer the shares for resale from time to time. Beneficial ownership reflected in the table below includes the total shares held by the individual and his or her affiliates. Beneficial ownership is determined in accordance with the rules and regulations of the SEC.</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selling stockholders listed in the table below may have sold, transferred, otherwise disposed of or purchased, or may sell, transfer, otherwise dispose of or purchase, at any time and from time to time, shares of our common stock in transactions exempt from the registration requirements of the Securities Act or in the open market after the date on which they provided the information set forth in the table below.</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Information about additional selling stockholders, if any, including their identities and the common stock to be registered on their behalf, will be set forth in a prospectus supplement, in a post-effective amendment or in filings that we make with the SEC under the Exchange Act, which are incorporated by reference in this prospectus. Information concerning the selling stockholders may change from time to time. Any changes to the information provided below will be set forth in a supplement to this prospectus, in a post-effective amendment or in filings we make with the SEC under the Exchange Act, which are incorporated by reference into this prospectus if and when necessary.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otherwise indicated and subject to applicable community property laws, to our knowledge, each stockholder named in the following table possesses sole voting and investment power over the shares listed. Unless otherwise noted below, the address of each person or entity listed on the table is c/o Sportsman’s Warehouse Holdings, Inc., 7035 South High Tech Drive, Midvale, Utah 84047.</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Shares of</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68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Shares Beneficially Owned</w:t>
            </w: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Common</w:t>
            </w:r>
          </w:p>
        </w:tc>
        <w:tc>
          <w:tcPr>
            <w:tcW w:w="2140" w:type="dxa"/>
            <w:vAlign w:val="bottom"/>
            <w:gridSpan w:val="4"/>
          </w:tcPr>
          <w:p>
            <w:pPr>
              <w:ind w:left="20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680" w:type="dxa"/>
            <w:vAlign w:val="bottom"/>
            <w:gridSpan w:val="4"/>
          </w:tcPr>
          <w:p>
            <w:pPr>
              <w:jc w:val="right"/>
              <w:ind w:right="940"/>
              <w:spacing w:after="0" w:line="149" w:lineRule="exact"/>
              <w:rPr>
                <w:sz w:val="20"/>
                <w:szCs w:val="20"/>
                <w:color w:val="auto"/>
              </w:rPr>
            </w:pPr>
            <w:r>
              <w:rPr>
                <w:rFonts w:ascii="Arial" w:cs="Arial" w:eastAsia="Arial" w:hAnsi="Arial"/>
                <w:sz w:val="14"/>
                <w:szCs w:val="14"/>
                <w:b w:val="1"/>
                <w:bCs w:val="1"/>
                <w:color w:val="auto"/>
              </w:rPr>
              <w:t>Prior to This Offering</w:t>
            </w: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Stock that</w:t>
            </w:r>
          </w:p>
        </w:tc>
        <w:tc>
          <w:tcPr>
            <w:tcW w:w="2140" w:type="dxa"/>
            <w:vAlign w:val="bottom"/>
            <w:gridSpan w:val="4"/>
          </w:tcPr>
          <w:p>
            <w:pPr>
              <w:ind w:left="400"/>
              <w:spacing w:after="0" w:line="149" w:lineRule="exact"/>
              <w:rPr>
                <w:sz w:val="20"/>
                <w:szCs w:val="20"/>
                <w:color w:val="auto"/>
              </w:rPr>
            </w:pPr>
            <w:r>
              <w:rPr>
                <w:rFonts w:ascii="Arial" w:cs="Arial" w:eastAsia="Arial" w:hAnsi="Arial"/>
                <w:sz w:val="14"/>
                <w:szCs w:val="14"/>
                <w:b w:val="1"/>
                <w:bCs w:val="1"/>
                <w:color w:val="auto"/>
              </w:rPr>
              <w:t>After This Offering</w:t>
            </w: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gridSpan w:val="2"/>
            <w:vMerge w:val="restart"/>
          </w:tcPr>
          <w:p>
            <w:pPr>
              <w:jc w:val="center"/>
              <w:ind w:right="580"/>
              <w:spacing w:after="0" w:line="126" w:lineRule="exact"/>
              <w:rPr>
                <w:sz w:val="20"/>
                <w:szCs w:val="20"/>
                <w:color w:val="auto"/>
              </w:rPr>
            </w:pPr>
            <w:r>
              <w:rPr>
                <w:rFonts w:ascii="Arial" w:cs="Arial" w:eastAsia="Arial" w:hAnsi="Arial"/>
                <w:sz w:val="14"/>
                <w:szCs w:val="14"/>
                <w:b w:val="1"/>
                <w:bCs w:val="1"/>
                <w:color w:val="auto"/>
                <w:w w:val="95"/>
              </w:rPr>
              <w:t>May be Sold</w:t>
            </w: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5160" w:type="dxa"/>
            <w:vAlign w:val="bottom"/>
            <w:gridSpan w:val="2"/>
            <w:vMerge w:val="continue"/>
          </w:tcPr>
          <w:p>
            <w:pPr>
              <w:spacing w:after="0"/>
              <w:rPr>
                <w:sz w:val="6"/>
                <w:szCs w:val="6"/>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w:t>
            </w:r>
          </w:p>
        </w:tc>
        <w:tc>
          <w:tcPr>
            <w:tcW w:w="12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0"/>
              </w:rPr>
              <w:t>Percent(1)</w:t>
            </w:r>
          </w:p>
        </w:tc>
        <w:tc>
          <w:tcPr>
            <w:tcW w:w="1440" w:type="dxa"/>
            <w:vAlign w:val="bottom"/>
            <w:gridSpan w:val="2"/>
            <w:vMerge w:val="continue"/>
          </w:tcPr>
          <w:p>
            <w:pPr>
              <w:spacing w:after="0"/>
              <w:rPr>
                <w:sz w:val="6"/>
                <w:szCs w:val="6"/>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Percent(1)</w:t>
            </w:r>
          </w:p>
        </w:tc>
        <w:tc>
          <w:tcPr>
            <w:tcW w:w="0" w:type="dxa"/>
            <w:vAlign w:val="bottom"/>
          </w:tcPr>
          <w:p>
            <w:pPr>
              <w:spacing w:after="0"/>
              <w:rPr>
                <w:sz w:val="1"/>
                <w:szCs w:val="1"/>
                <w:color w:val="auto"/>
              </w:rPr>
            </w:pPr>
          </w:p>
        </w:tc>
      </w:tr>
      <w:tr>
        <w:trPr>
          <w:trHeight w:val="171"/>
        </w:trPr>
        <w:tc>
          <w:tcPr>
            <w:tcW w:w="516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Hereby</w:t>
            </w:r>
          </w:p>
        </w:tc>
        <w:tc>
          <w:tcPr>
            <w:tcW w:w="12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New</w:t>
            </w:r>
          </w:p>
        </w:tc>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 SWH Holdings, L.P. (2)(3)</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11,140,211</w:t>
            </w:r>
          </w:p>
        </w:tc>
        <w:tc>
          <w:tcPr>
            <w:tcW w:w="5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5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11,140,211</w:t>
            </w:r>
          </w:p>
        </w:tc>
        <w:tc>
          <w:tcPr>
            <w:tcW w:w="5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SEP SWH Holdings, L.P. (2)(3)</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10,908,122</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26.0</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10,908,122</w:t>
            </w:r>
          </w:p>
        </w:tc>
        <w:tc>
          <w:tcPr>
            <w:tcW w:w="12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V. Schaefer (4)</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1,503,350</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1,503,350</w:t>
            </w: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Kevan P. Talbot (5)</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442,307</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1.1</w:t>
            </w:r>
          </w:p>
        </w:tc>
        <w:tc>
          <w:tcPr>
            <w:tcW w:w="860" w:type="dxa"/>
            <w:vAlign w:val="bottom"/>
          </w:tcPr>
          <w:p>
            <w:pPr>
              <w:jc w:val="right"/>
              <w:spacing w:after="0"/>
              <w:rPr>
                <w:sz w:val="20"/>
                <w:szCs w:val="20"/>
                <w:color w:val="auto"/>
              </w:rPr>
            </w:pPr>
            <w:r>
              <w:rPr>
                <w:rFonts w:ascii="Arial" w:cs="Arial" w:eastAsia="Arial" w:hAnsi="Arial"/>
                <w:sz w:val="18"/>
                <w:szCs w:val="18"/>
                <w:color w:val="auto"/>
              </w:rPr>
              <w:t>442,307</w:t>
            </w:r>
          </w:p>
        </w:tc>
        <w:tc>
          <w:tcPr>
            <w:tcW w:w="580" w:type="dxa"/>
            <w:vAlign w:val="bottom"/>
          </w:tcPr>
          <w:p>
            <w:pPr>
              <w:spacing w:after="0"/>
              <w:rPr>
                <w:sz w:val="20"/>
                <w:szCs w:val="20"/>
                <w:color w:val="auto"/>
              </w:rPr>
            </w:pPr>
          </w:p>
        </w:tc>
        <w:tc>
          <w:tcPr>
            <w:tcW w:w="12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25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Assumes that the selling shareholders will sell all of their common stock subject to resale pursuant to this prospectus. There is no assurance that the selling shareholders will resell all or any of their common stock.</w:t>
      </w:r>
    </w:p>
    <w:p>
      <w:pPr>
        <w:spacing w:after="0" w:line="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Percentage of common stock is based on 42,003,599 shares of our common stock outstanding as of July 14, 2015.</w:t>
      </w:r>
    </w:p>
    <w:p>
      <w:pPr>
        <w:spacing w:after="0" w:line="9" w:lineRule="exact"/>
        <w:rPr>
          <w:rFonts w:ascii="Arial" w:cs="Arial" w:eastAsia="Arial" w:hAnsi="Arial"/>
          <w:sz w:val="18"/>
          <w:szCs w:val="18"/>
          <w:color w:val="auto"/>
        </w:rPr>
      </w:pPr>
    </w:p>
    <w:p>
      <w:pPr>
        <w:jc w:val="both"/>
        <w:ind w:left="460" w:hanging="452"/>
        <w:spacing w:after="0" w:line="270"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a Schedule 13G filed by Seidler Kutsenda Management Company, LLC (“SKMC”), Seidler Equity Partners III, L.P. (“SEP III”), SEP SWH Holdings GP, LLC (“SEP GP”), New SEP SWH Holdings, L.P. (“New SEP”), SEP SWH Holdings, L.P. (“SEP” and together with New SEP, the “SEP Funds”) on February 3, 2015. According to the Schedule 13G, 11,140,211 shares of the Common Stock are held of record by New SEP and 10,908,122 shares of the Common Stock are held of record by SEP. SEP GP is the general partner of both New SEP and SEP, and SEP III is the sole member of SEP GP. SKMC as the investment manager of SEP III, has ultimate voting and dispositive power over all of the shares owned by the SEP Funds. SKMC’s Investment Committee makes all voting, investment and disposition decisions 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spacing w:after="0" w:line="268" w:lineRule="auto"/>
        <w:rPr>
          <w:sz w:val="20"/>
          <w:szCs w:val="20"/>
          <w:color w:val="auto"/>
        </w:rPr>
      </w:pPr>
      <w:r>
        <w:rPr>
          <w:rFonts w:ascii="Arial" w:cs="Arial" w:eastAsia="Arial" w:hAnsi="Arial"/>
          <w:sz w:val="17"/>
          <w:szCs w:val="17"/>
          <w:color w:val="auto"/>
        </w:rPr>
        <w:t>behalf of SKMC. That committee is comprised of Peter Seidler, Robert Seidler and Eric Kutsenda. None of these individuals individually exercises control over SKMC, and therefore, each of them disclaims beneficial ownership over the shares owned by the SEP Funds, except to the extent of their respective indirect pecuniary interests, if any, in those shares. Each of SKMC, SEP III and SEP GP may be deemed, pursuant to Rule 13d-3 under the Exchange Act, to beneficially own the Common Stock held by the SEP Funds. Each of SKMC, SEP III and SEP GP disclaim beneficial ownership of the shares of the Company except to the extent of its indirect pecuniary interests, if any, in those shares.</w:t>
      </w:r>
    </w:p>
    <w:p>
      <w:pPr>
        <w:spacing w:after="0" w:line="3" w:lineRule="exact"/>
        <w:rPr>
          <w:sz w:val="20"/>
          <w:szCs w:val="20"/>
          <w:color w:val="auto"/>
        </w:rPr>
      </w:pPr>
    </w:p>
    <w:p>
      <w:pPr>
        <w:ind w:left="460" w:right="2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address of each of SEP and New SEP is c/o Seidler Kutsenda Management Company, LLC, 4640 Admiralty Way, Suite 1200, Marina del Rey, California 90292.</w:t>
      </w:r>
    </w:p>
    <w:p>
      <w:pPr>
        <w:ind w:left="46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428,333 restricted stock units which have vested as of April 27, 2015 and does not include another 428,333 restricted stock units which are scheduled to vest on April 16, 2016 and 2017, subject to Mr. Schaefer’s continued employment or service.</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shares are held by the Kevan P. Talbot Revocable Trust.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description of our capital stock and provisions of our certificate of incorporation and bylaws are summaries only. For more detailed information, please see our certificate of incorporation and bylaws, which are filed as exhibits to reports we file with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authorized capital stock consists of 100,000,000 shares of common stock, par value of $0.01 per share, and 20,000,000 shares of preferred stock, par value $0.01 per share. As of July 14, 2015, there were 42,003,599 shares of common stock outstanding and no shares of preferred stock outstanding.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stockholders, including the election or removal of directors. Our directors are elected by a plurality of the votes cast by stockholders entitled to vote on the election. All other matters to be voted on by stockholders must be approved by a majority of the votes entitled to be cast by the holders of common stock present in person or represented by proxy, subject to any voting rights granted to holders of any preferred stock.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cumulative voting rights for the election of directors, which means that the holders of a majority of the shares of our common stock voted are entitled to elect all of our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rights of holders of any then-outstanding shares of our preferred stock, holders of our common stock are entitled to receive ratably any dividends that may be declared by our board of directors out of funds legally available therefor.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our liquidation, dissolution or winding up, either voluntary or involuntary, holders of our common stock would be entitled to share ratably in all assets available for distribution to stockholders after the payment of or provision for all of our debts and other liabilities and the satisfaction of any liquidation preference granted to the holders of any then-outstanding shares of preferred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Holders of our common stock do not have preemptive rights to purchase shares of our stock. The shares of our common stock are not subject to any redemption provisions and are not convertible into any other shares of our capital stock. The rights, preferences and privileges of holders of our common stock will be subject to those of the holders of any shares of our preferred stock we may issue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Blank Check Preferred Stock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our certificate of incorporation, our board of directors has the authority, without further action by our stockholders, to issue up to 20,000,000 shares of preferred stock in one or more series and to fix the rights, preferences, privileges and restrictions thereof, including voting rights, dividend rights, conversion rights, redemption privileges and liquidation preferences.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preferred stock, while providing flexibility in connection with possible acquisitions, future financings and other corporate purposes, could make it more difficult for a third party to acquire, or could adversely affect the rights of our common stockholders by restricting dividends on the common stock, diluting the voting power of the common stock, impairing the liquidation rights of the common stock or delaying or preventing a change in control without further action by the stockholders. As a result of these or other factors, the issuance of preferred stock could have an adverse impact on the market price of our common stock.</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July 14, 2015, no shares of preferred stock were issued and outstanding. All shares of preferred stock offered hereby will, when issued, be fully paid and non-assessable and, unless otherwise stated in a prospectus supplement relating to the series of preferred stock being offered, will not have any preemptive or similar rights. We will set forth in a prospectus supplement relating to the class or series of preferred stock being offered the specific terms of each series of our preferred stock, including the price at which the preferred stock may be purchased, the number of shares of preferred stock offered, and the terms, if any, on which the preferred stock may be convertible into common stock or exchangeable for other securities.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Certain Provisions of Delaware Law, the Certificate of Incorporation and the Bylaws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a summary of the relevant provisions of our certificate of incorporation and bylaws and certain applicable sections of the Delaware General Corporation Law. For additional information we refer you to the provisions of our certificate of incorporation, our bylaws and such sections of the Delaware General Corporation Law.</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certificate of incorporation and bylaws contain provisions that are intended to enhance the likelihood of continuity and stability in the composition of our board of directors and that could make it more difficult to acquire control of our company by means of a tender offer, open market purchases, a proxy contest or otherwise.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 A description of these provisions is set forth below.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Board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certificate of incorporation provides that our board of directors, other than those directors elected by the holders of any series of preferred stock, will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A third party may be discouraged from making a tender offer or otherwise attempting to obtain control of us as it is more difficult and time-consuming for stockholders to replace a majority of the directors on a classified board.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Removal of Directors Only for Cause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certificate of incorporation and bylaws provide that, except for any director elected by the holders of any series of preferred stock, directors can be removed only for cause once Seidler ceases to beneficially own shares of our common stock representing a majority of the total voting power of our then-outstanding shares of capital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Meetings of Stockholders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bylaws provide that special meetings of our stockholders may be called only by the board of directors, or by the chairman of the board of directors, the chief executive officer, if any, or the president. Stockholders are not permitted to call a special meeting or require our board of directors to call a special meeting.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Supermajority Vote to Amend Certificate of Incorporation and Bylaws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certificate of incorporation provides that the approval of at least two-thirds of the outstanding shares of our common stock is required to amend certain provisions of our certificate of incorporation. Our certificate of incorporation and bylaws provide that the approval of holders of at least two-thirds of the outstanding shares of our common stock is required to amend our bylaws. Our bylaws may also be amended by a majority of our board of directors.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Cumulative Voting</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certificate of incorporation does not grant stockholders the right to vote cumulatively. Therefore, stockholders holding a majority of the shares of common stock outstanding are able to elect all of our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Written Consent of Stockholders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certificate of incorporation and bylaws provide that, once Seidler owns less than a majority of the outstanding shares of our common stock, all stockholder actions, other than those actions required or permitted to be taken by holders of any then-outstanding series of preferred stock, are required to be taken by a vote of the stockholders at an annual or special meeting, and that stockholders may not take any action by written consent in lieu of a meeting.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 Procedure</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bylaws provide that our board of directors, the chairman of the board of directors, the chief executive officer, if any, or the president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bylaws also establish an advance notice procedure for stockholders to make nominations of candidates for election as directors, or bring other business before an annual or special meeting of the stockholders. This notice procedure provides that only persons who are nominated by, or at the direction of, our board of directors or any duly authorized committee of the board of directors, or by a stockholder who is entitled to vote at the meeting and who has given timely written notice to the secretary of our company prior to the meeting at which directors are to be elected, will be eligible for election as directors. The procedure also requires that, in order to raise matters at an annual or special meeting, those matters must be raised before the meeting pursuant to the notice of meeting the company delivers or by, or at the direction of, our board of directors or any duly authorized committee of the board of directors, or by a stockholder who is entitled to vote at the meeting and who has given timely written notice to our secretary of his, her or its intention to raise those matters at the annual or special meeting. If the officer presiding at a meeting determines that a person was not nominated, or other business was not brought before the meeting, in accordance with the notice procedure, that person is not be eligible for election as a director, or that business will not be conducted at the meeting, as applicable.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Blank Check Preferred Stock</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certificate of incorporation provides for 20,000,000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 of us and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group. In this regard, our certification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but Unissued Shares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Delaware law, our authorized but unissued shares of common stock are available for future issuance without stockholder approval. We may use these additional shares for a variety of corporate purposes, including future public offerings to raise additional capital, corporate acquisitions and employee benefit plans. The existence of authorized but unissued shares of common stock could render more difficult or discourage an attempt to obtain control of us by means of a proxy contest, tender offer, merger or otherwise.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203 of the Delaware General Corporation Law</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certificate of incorporation elects not to be subject to Section 203 of the Delaware General Corporation Law until such time as Seidler ceases to beneficially own shares of our common stock representing at least 15% of the total voting power of our then-outstanding shares of capital stock. Accordingly, we are not subject to any anti-takeover effects of Section 203.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03" w:lineRule="exact"/>
        <w:rPr>
          <w:sz w:val="20"/>
          <w:szCs w:val="20"/>
          <w:color w:val="auto"/>
        </w:rPr>
      </w:pPr>
    </w:p>
    <w:p>
      <w:pPr>
        <w:ind w:left="900" w:right="2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jc w:val="both"/>
        <w:ind w:left="900" w:hanging="325"/>
        <w:spacing w:after="0" w:line="31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52" w:lineRule="exact"/>
        <w:rPr>
          <w:rFonts w:ascii="Arial" w:cs="Arial" w:eastAsia="Arial" w:hAnsi="Arial"/>
          <w:sz w:val="16"/>
          <w:szCs w:val="16"/>
          <w:color w:val="auto"/>
        </w:rPr>
      </w:pPr>
    </w:p>
    <w:p>
      <w:pPr>
        <w:jc w:val="both"/>
        <w:ind w:left="900" w:hanging="325"/>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Opportunities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largest stockholder, Seidler, is in the business of making investments in companies and may from time to time acquire and hold interests in businesses that compete directly or indirectly with us. Corporate opportunities may therefore arise in the area of potential acquisitions of competitive businesses that may be attractive to us as well as to Seidler. Seidler and members of our board of directors affiliated with Seidler and its affiliates, by the terms of our certificate of incorporation, will not, to the fullest extent permitted by law, be required to offer us any transaction opportunity of which they become aware and could take such opportunity for themselves or offer it to other companies in which they have an investment, unless such opportunity is expressly offered to them solely in their capacity as members of our board of directors.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Choice of Forum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will be, to the fullest extent permitted by law, the exclusive forum for any derivative action or proceeding brought on our behalf; any action asserting a breach of fiduciary duty; any action asserting a claim against us arising pursuant to the Delaware General Corporation Law; or any action asserting a claim against us that is governed by the internal affairs doctrine.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overall effect of the foregoing provisions may be to deter a future tender offer. Stockholders might view such an offer to be in their best interest should the offer include a substantial premium over the market price of our common stock at that time. In addition, these provisions may have the effect of assisting our management to retain its position and place it in a better position to resist changes that the stockholders may want to make if dissatisfied with the conduct of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certificate of incorporation limits the liability of directors to the fullest extent permitted by Delaware law. The effect of these provisions is to eliminate the rights of us and our stockholders, through stockholders’ derivative suits on behalf of us,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our certificate of incorporation allows and our bylaws require that we indemnify our directors and officers to the fullest extent permitted by Delaware law. We also expect to continue to maintain directors’ and officers’ liability insurance. We believe that these indemnification provisions and insurance are useful to attract and retain qualified directors and executive officers.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limitation of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indemnification in our certificate of incorporation and bylaws, we have entered into indemnification agreements with each of our current directors and officers. These agreements provide for the indemnification of our directors and officers for all reasonable expenses and liabilities incurred in connection with any action or proceeding brought against them by reason of the fact that they are or were our agents. We believe that these bylaw provisions and indemnification agreements, as well as our maintaining directors’ and officers’ liability insurance, help to attract and retain qualified persons as directors and officers.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Wells Fargo Shareowner Services.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“SPWH.”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summarizes certain general terms and provisions of the debt securities that we may offer in one or more series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issue the debt securities under the indenture that we will enter into with a national banking association or other eligible party, as trustee.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The summary is not complete. The form of the indenture has been filed as an exhibit to the registration statement and you should read the indenture for provisions that may be important to you.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The terms of each series of debt securities will be established by or pursuant to a resolution of our board of directors and set forth in an officer’s certificate or a supplemental indenture. The particular terms of each series of debt securities will be described in a prospectus supplement relating to such series (including any pricing supplement or term sheet), including the following terms, if applicable:</w:t>
      </w:r>
    </w:p>
    <w:p>
      <w:pPr>
        <w:spacing w:after="0" w:line="77"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being offered and any limit on the aggregate principal amount of such series of debt securities;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including the terms of subordination, if any, of such guarantees;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interest rate, if any, and the method for calculating the interest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dates from which interest will accrue, the interest payment dates and the record dates for the interest payments;</w:t>
      </w:r>
    </w:p>
    <w:p>
      <w:pPr>
        <w:spacing w:after="0" w:line="130"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place or places where principal of, and any interest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mandatory or optional redemption terms;</w:t>
      </w:r>
    </w:p>
    <w:p>
      <w:pPr>
        <w:spacing w:after="0" w:line="130"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dates, if any, on which and the price or prices at which we will repurchase debt securities at the option of the holders of debt securities and other detailed terms and provisions of such repurchase obligations;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the principal of, and any interest on, the debt securities will be made;</w:t>
      </w:r>
    </w:p>
    <w:p>
      <w:pPr>
        <w:spacing w:after="0" w:line="75"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payments of principal of, any interest on, the debt securities will be made in one or more currencies or currency units other than that or those in which the debt securities are denominated, the manner in which the exchange rate with respect to such payments will be determined;</w:t>
      </w:r>
    </w:p>
    <w:p>
      <w:pPr>
        <w:spacing w:after="0" w:line="29" w:lineRule="exact"/>
        <w:rPr>
          <w:rFonts w:ascii="Arial" w:cs="Arial" w:eastAsia="Arial" w:hAnsi="Arial"/>
          <w:sz w:val="16"/>
          <w:szCs w:val="16"/>
          <w:color w:val="auto"/>
        </w:rPr>
      </w:pPr>
    </w:p>
    <w:p>
      <w:pPr>
        <w:jc w:val="both"/>
        <w:ind w:left="900" w:hanging="325"/>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or any interest on, the debt securities will be determined, if these amounts may be determined by reference to an index based on a currency or currencies or by reference to a commodity, commodity index, stock exchange index or financial index;</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addition to, deletion of or change in the covenants described in this prospectus or in the indenture with respect to the debt securities;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appointed with respect to the debt securities;</w:t>
      </w:r>
    </w:p>
    <w:p>
      <w:pPr>
        <w:spacing w:after="0" w:line="153" w:lineRule="exact"/>
        <w:rPr>
          <w:rFonts w:ascii="Arial" w:cs="Arial" w:eastAsia="Arial" w:hAnsi="Arial"/>
          <w:sz w:val="16"/>
          <w:szCs w:val="16"/>
          <w:color w:val="auto"/>
        </w:rPr>
      </w:pPr>
    </w:p>
    <w:p>
      <w:pPr>
        <w:jc w:val="both"/>
        <w:ind w:left="900" w:right="20" w:hanging="325"/>
        <w:spacing w:after="0" w:line="279"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provisions, if any, relating to conversion or exchange of any series of debt securities, including if applicable, the conversion or exchange price and period, the securities or other property into which the debt securities will be convertible, provisions as to whether conversion or exchange will be mandatory, at the option of the holders thereof or at our option, the events requiring an adjustment of the conversion price or exchange price and provisions affecting conversion or exchange if such series of debt securities are redeemed; and</w:t>
      </w:r>
    </w:p>
    <w:p>
      <w:pPr>
        <w:spacing w:after="0" w:line="76" w:lineRule="exact"/>
        <w:rPr>
          <w:rFonts w:ascii="Arial" w:cs="Arial" w:eastAsia="Arial" w:hAnsi="Arial"/>
          <w:sz w:val="17"/>
          <w:szCs w:val="17"/>
          <w:color w:val="auto"/>
        </w:rPr>
      </w:pPr>
    </w:p>
    <w:p>
      <w:pPr>
        <w:jc w:val="both"/>
        <w:ind w:left="900" w:hanging="325"/>
        <w:spacing w:after="0" w:line="34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other terms of the series of debt securities that may supplement, modify or delete any provision of the indenture as it applies to that series, including any terms that may be required under applicable law or regulations or advisable in connection with the marketing of the debt securities.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maturity or a declaration of acceleration of their maturity following an event of default pursuant to the terms of the indenture. We will provide you with information on the federal income tax considerations and other special considerations applicable to any of these debt securities in the applicable prospectus supplement.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such debt security as a “global debt security”), or a certificate issued in definitive registered form (we will refer to any debt security represented by a certificate as a “certificated debt security”) as set forth in the applicable prospectus supplement. Except as set forth below, global debt securities will not be issuable in certificated form.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Debt Securities and Book-Entry System</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global debt security will be deposited with, or on behalf of, the depositary, and registered in the name of the depositary or a nominee of the depositary. Beneficial interests in global debt securities will not be issuable in certificated form unless (i) the depositary has notified us that it is unwilling or unable to continue as depositary for such global debt security or has ceased to be qualified to act as such as required by the indenture and we fail to appoint a successor depositary within 90 days of such event, (ii) we determine, in our sole discretion, not to have such securities represented by one or more global securities or</w:t>
      </w:r>
    </w:p>
    <w:p>
      <w:pPr>
        <w:spacing w:after="0" w:line="2" w:lineRule="exact"/>
        <w:rPr>
          <w:sz w:val="20"/>
          <w:szCs w:val="20"/>
          <w:color w:val="auto"/>
        </w:rPr>
      </w:pPr>
    </w:p>
    <w:p>
      <w:pPr>
        <w:jc w:val="both"/>
        <w:ind w:firstLine="8"/>
        <w:spacing w:after="0" w:line="254" w:lineRule="auto"/>
        <w:tabs>
          <w:tab w:leader="none" w:pos="3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circumstances shall exist, in addition to or in lieu of those described above, as may be described in the applicable prospectus supplement. Unless and until a global debt security is exchanged for certificated debt securities under the limited circumstances described in the previous sentence, a global debt security may not be transferred except as a whole by the depositary to its nominee or by the nominee to the depositary, or by the depositary or its nominee to a successor depositary or to a nominee of the successor depositary.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Sportsman’s Warehouse may not consolidate with or merge with or into, or convey, transfer or lease all or substantially all of its assets to any person (a “successor person”) unless:</w:t>
      </w:r>
    </w:p>
    <w:p>
      <w:pPr>
        <w:spacing w:after="0" w:line="76" w:lineRule="exact"/>
        <w:rPr>
          <w:sz w:val="20"/>
          <w:szCs w:val="20"/>
          <w:color w:val="auto"/>
        </w:rPr>
      </w:pPr>
    </w:p>
    <w:p>
      <w:pPr>
        <w:jc w:val="both"/>
        <w:ind w:left="900" w:hanging="325"/>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Sportsman’s Warehouse is the surviving corporation or the successor person (if other than Sportsman’s Warehouse) is a corporation organized and validly existing under the laws of any U.S. domestic jurisdiction and expressly assumes Sportsman’s Warehouse’s obligations on the debt securities and under the indenture;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above, any of Sportsman’s Warehouse’s subsidiaries may consolidate with, merge into or transfer all or part of its properties to Sportsman’s Warehouse.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with respect to any series of debt securities, any of the following:</w:t>
      </w:r>
    </w:p>
    <w:p>
      <w:pPr>
        <w:spacing w:after="0" w:line="131" w:lineRule="exact"/>
        <w:rPr>
          <w:sz w:val="20"/>
          <w:szCs w:val="20"/>
          <w:color w:val="auto"/>
        </w:rPr>
      </w:pPr>
    </w:p>
    <w:p>
      <w:pPr>
        <w:jc w:val="both"/>
        <w:ind w:left="900" w:hanging="325"/>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30" w:lineRule="exact"/>
        <w:rPr>
          <w:rFonts w:ascii="Arial" w:cs="Arial" w:eastAsia="Arial" w:hAnsi="Arial"/>
          <w:sz w:val="18"/>
          <w:szCs w:val="18"/>
          <w:color w:val="auto"/>
        </w:rPr>
      </w:pPr>
    </w:p>
    <w:p>
      <w:pPr>
        <w:jc w:val="both"/>
        <w:ind w:left="900" w:hanging="325"/>
        <w:spacing w:after="0" w:line="279"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by us in the indenture (other than defaults described above or defaults relating to a covenant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76" w:lineRule="exact"/>
        <w:rPr>
          <w:rFonts w:ascii="Arial" w:cs="Arial" w:eastAsia="Arial" w:hAnsi="Arial"/>
          <w:sz w:val="17"/>
          <w:szCs w:val="17"/>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Sportsman’s Warehouse; and</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series of debt securities, including any events of default relating to guarantors, if any, or subsidiaries that is described in the applicable prospectus supplement.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an event of default with respect to any series of debt securities at the time outstanding occurs and is continuing (other than an event of default resulting from certain events of bankruptcy, insolvency or reorganization),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amount (or such specified amount) of and accrued and unpaid interest, if any, on all outstanding debt securities will become and be immediately due and payable without any declaration or other act on the part of the trustee or any holder of outstanding debt securities. At any time after a</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declaration of acceleration with respect to debt securities of any series has been made, but before a judgment or decree for payment of the money due has been obtained by the trustee, the holders of a majority in principal amount of the outstanding debt securities of that series, by written notice to us and the trustee, may rescind and annul such declaration of acceleration and its consequences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indenture provides that the trustee will be under no obligation to perform any duty or exercise any of its rights or powers under the indenture unless the trustee receives indemnity satisfactory to it against any cost, liability or expense which might be incurred by it in performing such duty or exercising such right of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that holder has previously given to the trustee written notice of a continuing event of default with respect to debt securities of that series;</w:t>
      </w:r>
    </w:p>
    <w:p>
      <w:pPr>
        <w:spacing w:after="0" w:line="142"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to the trustee to institute the proceedings in respect of such event of default in its own name as trustee under the indenture;</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trustee has failed to institute any such proceeding for 60 days after its receipt of such notice, request and offer of indemnity;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holders of a majority in principal amount of the outstanding debt securities of that series.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Notwithstanding any other provision in the indenture, the holder of any debt security will have an absolute and unconditional right to receive payment of the principal of, and any interest on, that debt security on or after the due dates expressed in that debt security (or, in the case of redemption, on the redemption date) and to institute suit for the enforcement of any such payment and such rights shall not be impaired without the consent of such holder.</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indenture requires us, within 120 days after the end of our fiscal year, to furnish to the trustee a statement as to compliance with the indenture from our principal executive officer, principal financial officer or principal accounting officer. If a default or event of default occurs and is continuing with respect to the debt securities of any series and if it is actually known to a responsible officer of the trustee, the trustee shall mail to each holder of the debt securities of that series notice of a default or event of default within 60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and the trustee may modify and amend or supplement the indenture or the debt securities of one or more series without the consent of any holder of any debt security:</w:t>
      </w:r>
    </w:p>
    <w:p>
      <w:pPr>
        <w:spacing w:after="0" w:line="76"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 series or secure debt securities of a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any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make any change that does not materially adversely affect the rights of any holder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debt securities of any series as permitted by the indenture;</w:t>
      </w:r>
    </w:p>
    <w:p>
      <w:pPr>
        <w:spacing w:after="0" w:line="142"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certain other reasons set forth in any prospectus supplement.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then-outstanding if that amendment will:</w:t>
      </w:r>
    </w:p>
    <w:p>
      <w:pPr>
        <w:spacing w:after="0" w:line="87"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or interest, if any, on any debt security (except a rescission of acceleration of the debt securities of any series by the holders of at least a majority in principal amount of the then-outstanding debt securities of that series and a waiver of the payment default that resulted from such acceleration);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the principal of, or any interest on, any debt security payable in currency other than that stated in the debt security;</w:t>
      </w:r>
    </w:p>
    <w:p>
      <w:pPr>
        <w:spacing w:after="0" w:line="130"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make any change to certain provisions of the indenture relating to, among other things, the right of holders of debt securities to receive payment of the principal of, and any interest on, those debt securities and to institute suit for the enforcement of any such payment;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waivers or amendments;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provided that such redemption is made at our option.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by written notice to the trustee, waive our compliance with provisions of the indenture or the debt securities with respect to such series.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69" w:lineRule="exact"/>
        <w:rPr>
          <w:sz w:val="20"/>
          <w:szCs w:val="20"/>
          <w:color w:val="auto"/>
        </w:rPr>
      </w:pPr>
    </w:p>
    <w:p>
      <w:pPr>
        <w:ind w:right="5320"/>
        <w:spacing w:after="0" w:line="378" w:lineRule="auto"/>
        <w:rPr>
          <w:sz w:val="20"/>
          <w:szCs w:val="20"/>
          <w:color w:val="auto"/>
        </w:rPr>
      </w:pPr>
      <w:r>
        <w:rPr>
          <w:rFonts w:ascii="Arial" w:cs="Arial" w:eastAsia="Arial" w:hAnsi="Arial"/>
          <w:sz w:val="18"/>
          <w:szCs w:val="18"/>
          <w:b w:val="1"/>
          <w:bCs w:val="1"/>
          <w:color w:val="auto"/>
        </w:rPr>
        <w:t xml:space="preserve">Defeasance of Debt Securities and Certain Covenants in Certain Circumstances </w:t>
      </w:r>
      <w:r>
        <w:rPr>
          <w:rFonts w:ascii="Arial" w:cs="Arial" w:eastAsia="Arial" w:hAnsi="Arial"/>
          <w:sz w:val="18"/>
          <w:szCs w:val="18"/>
          <w:b w:val="1"/>
          <w:bCs w:val="1"/>
          <w:i w:val="1"/>
          <w:iCs w:val="1"/>
          <w:color w:val="auto"/>
        </w:rPr>
        <w:t>Legal Defeasance</w:t>
      </w:r>
    </w:p>
    <w:p>
      <w:pPr>
        <w:jc w:val="both"/>
        <w:spacing w:after="0" w:line="272" w:lineRule="auto"/>
        <w:rPr>
          <w:sz w:val="20"/>
          <w:szCs w:val="20"/>
          <w:color w:val="auto"/>
        </w:rPr>
      </w:pPr>
      <w:r>
        <w:rPr>
          <w:rFonts w:ascii="Arial" w:cs="Arial" w:eastAsia="Arial" w:hAnsi="Arial"/>
          <w:sz w:val="17"/>
          <w:szCs w:val="17"/>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and interest, if any, on and any mandatory sinking fund payments in respect of the debt securities of that series on the stated maturity of those payments in accordance with the terms of the indenture and those debt securities.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Defeasance of Certain Covenants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indenture provides that, unless otherwise provided by the terms of the applicable series of debt securities, upon compliance with certain conditions:</w:t>
      </w:r>
    </w:p>
    <w:p>
      <w:pPr>
        <w:spacing w:after="0" w:line="142" w:lineRule="exact"/>
        <w:rPr>
          <w:sz w:val="20"/>
          <w:szCs w:val="20"/>
          <w:color w:val="auto"/>
        </w:rPr>
      </w:pPr>
    </w:p>
    <w:p>
      <w:pPr>
        <w:ind w:left="900" w:hanging="325"/>
        <w:spacing w:after="0" w:line="34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29"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conditions include:</w:t>
      </w:r>
    </w:p>
    <w:p>
      <w:pPr>
        <w:spacing w:after="0" w:line="131" w:lineRule="exact"/>
        <w:rPr>
          <w:sz w:val="20"/>
          <w:szCs w:val="20"/>
          <w:color w:val="auto"/>
        </w:rPr>
      </w:pPr>
    </w:p>
    <w:p>
      <w:pPr>
        <w:jc w:val="both"/>
        <w:ind w:left="900" w:hanging="325"/>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accordance with their terms, will provide money in an amount sufficient in the opinion of a nationally recognized firm of independent public accountants or investment bank to pay and discharge each installment of principal of, and interest, if any, on and any mandatory sinking fund payments in respect of the debt securities of that series on the stated maturity of those payments in accordance with the terms of the indenture and those debt securities; and</w:t>
      </w:r>
    </w:p>
    <w:p>
      <w:pPr>
        <w:spacing w:after="0" w:line="92" w:lineRule="exact"/>
        <w:rPr>
          <w:sz w:val="20"/>
          <w:szCs w:val="20"/>
          <w:color w:val="auto"/>
        </w:rPr>
      </w:pPr>
    </w:p>
    <w:p>
      <w:pPr>
        <w:jc w:val="both"/>
        <w:ind w:left="90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indenture and the debt securities, including any claim or controversy arising out of or relating to the indenture or the securities, will be governed by the laws of the State of New York (without regard to the conflicts of laws provisions thereof other than Section 5-1401 of the General Obligations Law).</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summarizes the material terms and provisions of the warrants that we may offer under this prospectus, which consist of warrants to purchase shares of common stock, preferred stock and/or debt securities in one or more series. Warrants may be offered independently or together with shares of common stock, preferred stock and/or debt securities offered by any prospectus supplement and may be attached to or separate from those securities.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While the terms we have summarized below will generally apply to any future warrants we may offer under this prospectus, we will describe the particular terms of any warrants that we may offer in more detail in the applicable prospectus supplement. The specific terms of any warrants may differ from the description provided below as a result of negotiations with third parties in connection with the issuance of those warrants, as well as for other reasons. Because the terms of any warrants we offer under a prospectus supplement may differ from the terms we describe below, you should rely solely on information in the applicable prospectus supplement if that summary is different from the summary in this prospectus.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issue the warrants under a warrant agreement, which we will enter into with a warrant agent to be selected by us.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will incorporate by reference into the registration statement of which this prospectus is a part the form of warrant agreement, including a form of warrant certificate, that describes the terms of the series of warrants we are offering before the issuance of the related series of warrants. The following summaries of material provisions of the warrants and the warrant agreements are subject to, and qualified in their entirety by reference to, all the provisions of the warrant agreement applicable to a particular series of warrants. We urge you to read any applicable prospectus supplement related to the warrants that we sell under this prospectus, as well as the complete warrant agreement that contain the terms of the warrants and defines your rights as a warrant holder.</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describe in the applicable prospectus supplement the terms relating to a series of warrants. If warrants for the purchase of debt securities are offered, the prospectus supplement will describe the following terms, to the extent applicable:</w:t>
      </w:r>
    </w:p>
    <w:p>
      <w:pPr>
        <w:spacing w:after="0" w:line="76"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offering price and the aggregate number of warrants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currencies in which the warrants are being offered;</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currencies, denominations and terms of the series of debt securities that can be purchased if a holder exercises a warrant;</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designation and terms of any series of debt securities with which the warrants are being offered and the number of warrants offered with each such debt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on and after which the holder of the warrants can transfer them separately from the related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begins and the date on which that right expires;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Warrants for the purchase of debt securities will be in registered form only.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warrants for the purchase of shares of common stock or preferred stock are offered, the prospectus supplement will describe the following terms, to the extent applicable:</w:t>
      </w:r>
    </w:p>
    <w:p>
      <w:pPr>
        <w:spacing w:after="0" w:line="76"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offering price and the aggregate number of warrants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total number of shares that can be purchased if a holder of the warrants exercises them;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of warrants being offered with each share of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date on and after which the holder of the warrants can transfer them separately from the related shares of common stock or preferred stock;</w:t>
      </w:r>
    </w:p>
    <w:p>
      <w:pPr>
        <w:spacing w:after="0" w:line="153" w:lineRule="exact"/>
        <w:rPr>
          <w:rFonts w:ascii="Arial" w:cs="Arial" w:eastAsia="Arial" w:hAnsi="Arial"/>
          <w:sz w:val="16"/>
          <w:szCs w:val="16"/>
          <w:color w:val="auto"/>
        </w:rPr>
      </w:pPr>
    </w:p>
    <w:p>
      <w:pPr>
        <w:jc w:val="both"/>
        <w:ind w:left="900" w:hanging="325"/>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can be purchased if a holder exercises the warrant and the price at which those shares may be purchased upon exercise, including, if applicable, any provisions for changes to or adjustments in the exercise price and in the securities or other property receivable upon exercise;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terms of any rights to redeem or call, or accelerate the expiration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begins and the date on which that right expires;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Warrants for the purchase of shares of common stock or preferred stock will be in registered form only.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holder of warrant certificates may exchange them for new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of the rights of holders of the debt securities that can be purchased upon exercise, including any rights to receive payments of principal, premium or interest on the underlying debt securities or to enforce covenants in the applicable indenture. Until any warrants to purchase shares of common stock or preferred stock are exercised, holders of the warrants will not have any rights of holders of the underlying shares of common stock or preferred stock, including any rights to receive dividends or to exercise any voting rights, except to the extent set forth under “—Warrant Adjustments” below.</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holder of a warrant is entitled to purchase the principal amount of debt securities or number of shares of common stock or preferred stock, as the case may be, at the exercise price described in the applicable prospectus supplement. After the close of business on the day when the right to exercise terminates (or a later date if we extend the time for exercise), unexercised warrants will become void.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holder of warrants may exercise them by following the general procedure outlined below:</w:t>
      </w:r>
    </w:p>
    <w:p>
      <w:pPr>
        <w:spacing w:after="0" w:line="13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deliver to the warrant agent the payment required by the applicable prospectus supplement to purchase the underlying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properly complete and sign the reverse side of the warrant certificate representing the warrants;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deliver the warrant certificate representing the warrants to the warrant agent within five business days of the warrant agent receiving payment of the exercise price.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 comply with the procedures described above, your warrants will be considered to have been exercised when the warrant agent receives payment of the exercise price, subject to the transfer books for the securities issuable upon exercise of the warrant not being closed on such date. After you have completed those procedures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subject to the foregoing, we will, as soon as practicable, issue and deliver to you the debt securities or shares of common stock or preferred stock that you purchased upon exercise. If you exercise fewer than all of the warrants represented by a warrant certificate, a new warrant certificate will be issued to you for the unexercised amount of warrants. Holders of warrants will be required to pay any tax or governmental charge that may be imposed in connection with transferring the underlying securities in connection with the exercise of the warrants.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Supplements to the Warrant Agreements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amend or supplement a warrant agreement without the consent of the holders of the applicable warrants to cure ambiguities in the warrant agreement, to cure or correct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Adjustments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the applicable prospectus supplement states otherwise, the exercise price of, and the number of securities covered by, a warrant for shares of common stock or preferred stock will be adjusted proportionately if we subdivide or combine our common stock or preferred stock, as applicable. In addition, unless the prospectus supplement states otherwise, if we, without payment:</w:t>
      </w:r>
    </w:p>
    <w:p>
      <w:pPr>
        <w:spacing w:after="0" w:line="87" w:lineRule="exact"/>
        <w:rPr>
          <w:sz w:val="20"/>
          <w:szCs w:val="20"/>
          <w:color w:val="auto"/>
        </w:rPr>
      </w:pPr>
    </w:p>
    <w:p>
      <w:pPr>
        <w:jc w:val="both"/>
        <w:ind w:left="900" w:hanging="325"/>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 shares of common stock or preferred stock or other securities convertible into or exchangeable for common stock or preferred stock, or any rights to subscribe for, purchase or otherwise acquire any of the foregoing, as a dividend or distribution to all or substantially all holders of our common stock or preferred stock;</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pay any cash to all or substantially all holders of our common stock or preferred stock, other than a cash dividend paid out of our current or retained earnings;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 any evidence of our indebtedness or rights to subscribe for or purchase our indebtedness to all or substantially all holders of our common stock or preferred stock; or</w:t>
      </w:r>
    </w:p>
    <w:p>
      <w:pPr>
        <w:spacing w:after="0" w:line="75"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issue common stock, preferred stock or additional shares or other securities or property to all or substantially all holders of our common stock or preferred stock by way of spinoff, split-up, reclassification, combination of shares or similar corporate rearrangement;</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then the holders of common stock warrants or preferred stock warrants will be entitled to receive upon exercise of the warrants, in addition to the securities otherwise receivable upon exercise of the warrants and without paying any additional consideration, the amount of shares and other securities and property such holders would have been entitled to receive had they held the common stock or preferred stock issuable under the warrants on the dates on which holders of those securities received or became entitled to receive such additional shares and other securities and property.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stated above, the exercise price and number of securities covered by a warrant for shares of common stock or preferred stock, and the amounts of other securities or property to be received, if any, upon exercise of those warrants,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Holders of common stock warrants or preferred stock warrants may have additional rights under the following circumstances:</w:t>
      </w:r>
    </w:p>
    <w:p>
      <w:pPr>
        <w:spacing w:after="0" w:line="131"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reclassifications, capital reorganizations or changes of the common stock or preferred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certain share exchanges, mergers, or similar transactions involving us that result in changes of the common stock or preferred stock; or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sales or dispositions to another entity of all or substantially all of our property and assets.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one of the above transactions occurs and holders of our common stock or preferred stock are entitled to receive shares, securities or other property with respect to or in exchange for their securities, the holders of the common stock warrants or preferred stock warrants then-outstanding, as applicable, will be entitled to receive upon exercise of their warrants the kind and amount of shares and other securities or property that they would have received upon the applicable transaction if they had exercised their warrants immediately before the transaction.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summarizes the general features of the rights that we may offer under this prospectus. We may issue rights to our stockholders to purchase shares of our common stock and/or any of the other securities offered hereby. Each series of rights will be issued under a separate rights agreement to be entered into between us and a bank or trust company, as rights agent. When we issue rights, we will provide the specific terms of the rights and the applicable rights agreement in a prospectus supplement. Because the terms of any rights we offer under a prospectus supplement may differ from the terms we describe below, you should rely solely on information in the applicable prospectus supplement if that summary is different from the summary in this prospectus. We will incorporate by reference into the registration statement of which this prospectus is a part the form of rights agreement that describes the terms of the series of rights we are offering before the issuance of the related series of rights. The applicable prospectus supplement relating to any rights will describe the terms of the offered rights, including, where applicable, the following:</w:t>
      </w:r>
    </w:p>
    <w:p>
      <w:pPr>
        <w:spacing w:after="0" w:line="103"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 for determining the persons entitled to participate in the rights distribution;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exercise price for the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aggregate number or amount of underlying securities purchasable upon exercise of the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of rights issued to each stockholder and the number of rights outstanding,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will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extent to which the rights include an over-subscription privilege with respect to unsubscribed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anti-dilution provisions of the rights, if any;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other terms of the rights, including terms, procedures and limitations relating to the distribution, exchange and exercise of the rights.</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securities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prospectus supplement relating to any particular issuance of units will describe the terms of those units, including, to the extent applicable, the following:</w:t>
      </w:r>
    </w:p>
    <w:p>
      <w:pPr>
        <w:spacing w:after="0" w:line="154" w:lineRule="exact"/>
        <w:rPr>
          <w:sz w:val="20"/>
          <w:szCs w:val="20"/>
          <w:color w:val="auto"/>
        </w:rPr>
      </w:pPr>
    </w:p>
    <w:p>
      <w:pPr>
        <w:ind w:left="90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provision for the issuance, payment, settlement, transfer or exchange of the units or of the securities comprising the units;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sell the securities, and the selling stockholders may sell some or all of the shares of common stock that they currently hold, from time to time, by a variety of methods, including the following:</w:t>
      </w:r>
    </w:p>
    <w:p>
      <w:pPr>
        <w:spacing w:after="0" w:line="76"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on any national securities exchange or quotation service on which our securities may be listed at the time of sale, including the NASDAQ;</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transactions otherwise than on such exchange or in the over-the-counter market, which may include privately negotiated transactions and sales directly to one or more purchasers;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purchases by a broker-dealer as principal and resale by the broker-dealer for its account;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underwriters, broker-dealers, agents, in privately negotiated transactions, or any combination of these methods;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short sales;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combination of any of these methods;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by any other method permitted pursuant to applicable law.</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used in this prospectus, “selling stockholders” includes donees, pledgees, transferees or other successors-in-interest selling shares received after the date of this prospectus from a selling stockholder as a gift, pledge, partnership distribution or other non-sale related transfer.</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will not receive any proceeds from the sale of shares of our common stock that may be sold from time to time pursuant to this prospectus by the selling stockholders. We will bear the costs associated with this registration in accordance with the registration rights agreement. However, the selling stockholders will bear any brokerage commissions, transfer taxes, or underwriting commissions and discounts attributable to their sale of shares of our common stock.</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may be distributed from time to time in one or more transactions:</w:t>
      </w:r>
    </w:p>
    <w:p>
      <w:pPr>
        <w:spacing w:after="0" w:line="131"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selling stockholders, or the purchasers of securities for whom</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In compliance with the guidelines of the Financial Industry Regulatory Authority, Inc., or FINRA, the maximum amount of underwriting compensation, including underwriting discounts and commissions, to be paid in connection with any offering of securities pursuant to this prospectus may not exceed 8% of the aggregate principal amount of securities offered.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engage in at-the-market offerings into an existing trading market in accordance with rule 415(a)(4) under the Securities Act. In addition, we or the selling stockholders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the selling stockholders or borrowed from us, the selling stockholders or others to settle those sales or to close out any related open borrowings of common stock, and may use securities received from us or the selling stockholders in settlement of those derivatives to close out any related open borrowings of our common stock. In addition, we or the selling stockholders may loan or pledge securities to a financial institution or other third party that in turn may sell the securities using this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prospectus and an applicable prospectus supplement. Such financial institution or other third party may transfer its economic short position to investors in our securities or in connection with a concurrent offering of other securities.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indicated in the applicable prospectus supplement, certain legal matters in connection with the offering and the validity of the securities offered by this prospectus, and any supplement thereto, will be passed upon by O’Melveny &amp; Myers LLP.</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consolidated financial statements and schedule of Sportsman’s Warehouse Holdings, Inc. as of January 31, 2015 and February 1, 2014, and for each of the fiscal years in the three-year period ended January 31, 2015, have been incorporated by reference herein in reliance on the report of KPMG LLP, independent registered public accounting firm, incorporated by reference herein, and upon the authority of said firm as experts in accounting and auditing.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1995805</wp:posOffset>
            </wp:positionV>
            <wp:extent cx="3232785" cy="15005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2785" cy="150050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
    </w:lvl>
    <w:lvl w:ilvl="1">
      <w:lvlJc w:val="left"/>
      <w:lvlText w:val="(%2)"/>
      <w:numFmt w:val="lowerLetter"/>
      <w:start w:val="1"/>
    </w:lvl>
  </w:abstractNum>
  <w:abstractNum w:abstractNumId="8">
    <w:nsid w:val="1E7FF521"/>
    <w:multiLevelType w:val="hybridMultilevel"/>
    <w:lvl w:ilvl="0">
      <w:lvlJc w:val="left"/>
      <w:lvlText w:val="(%1)"/>
      <w:numFmt w:val="decimal"/>
      <w:start w:val="3"/>
    </w:lvl>
    <w:lvl w:ilvl="1">
      <w:lvlJc w:val="left"/>
      <w:lvlText w:val="%2"/>
      <w:numFmt w:val="lowerLetter"/>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lowerLetter"/>
      <w:start w:val="1"/>
    </w:lvl>
  </w:abstractNum>
  <w:abstractNum w:abstractNumId="20">
    <w:nsid w:val="3804823E"/>
    <w:multiLevelType w:val="hybridMultilevel"/>
    <w:lvl w:ilvl="0">
      <w:lvlJc w:val="left"/>
      <w:lvlText w:val="(%1)"/>
      <w:numFmt w:val="lowerLetter"/>
      <w:start w:val="1"/>
    </w:lvl>
  </w:abstractNum>
  <w:abstractNum w:abstractNumId="21">
    <w:nsid w:val="77465F01"/>
    <w:multiLevelType w:val="hybridMultilevel"/>
    <w:lvl w:ilvl="0">
      <w:lvlJc w:val="left"/>
      <w:lvlText w:val="(%1)"/>
      <w:numFmt w:val="lowerLetter"/>
      <w:start w:val="7"/>
    </w:lvl>
  </w:abstractNum>
  <w:abstractNum w:abstractNumId="22">
    <w:nsid w:val="7724C67E"/>
    <w:multiLevelType w:val="hybridMultilevel"/>
    <w:lvl w:ilvl="0">
      <w:lvlJc w:val="left"/>
      <w:lvlText w:val="(%1)"/>
      <w:numFmt w:val="lowerLetter"/>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3"/>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lowerRoman"/>
      <w:start w:val="3"/>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2019-12-07T11:14:25Z</dcterms:created>
  <dcterms:modified xsi:type="dcterms:W3CDTF">2019-12-07T11:14:25Z</dcterms:modified>
</cp:coreProperties>
</file>