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spwh-20260901.htm"/>
      <w:bookmarkStart w:id="1" w:name="ksspwh20260901"/>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01,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SPORTSMAN'S WAREHOUSE HOLDINGS,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001-36401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39-1975614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1475 West 9000 South</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A</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West Jordan, Utah</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84088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801</w:t>
            </w:r>
            <w:r>
              <w:rPr>
                <w:rFonts w:ascii="Times New Roman" w:hAnsi="Times New Roman"/>
                <w:color w:val="000000"/>
                <w:sz w:val="20"/>
              </w:rPr>
              <w:t xml:space="preserve"> </w:t>
            </w:r>
            <w:r>
              <w:rPr>
                <w:rFonts w:ascii="Times New Roman" w:hAnsi="Times New Roman"/>
                <w:b/>
                <w:color w:val="000000"/>
                <w:sz w:val="20"/>
              </w:rPr>
              <w:t>566-6681</w:t>
            </w:r>
          </w:p>
        </w:tc>
      </w:tr>
    </w:tbl>
    <w:p>
      <w:pPr>
        <w:pStyle w:val="TextBody"/>
        <w:bidi w:val="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690" w:type="dxa"/>
        <w:jc w:val="left"/>
        <w:tblInd w:w="0" w:type="dxa"/>
        <w:tblLayout w:type="fixed"/>
        <w:tblCellMar>
          <w:top w:w="28" w:type="dxa"/>
          <w:left w:w="28" w:type="dxa"/>
          <w:bottom w:w="28" w:type="dxa"/>
          <w:right w:w="28" w:type="dxa"/>
        </w:tblCellMar>
      </w:tblPr>
      <w:tblGrid>
        <w:gridCol w:w="2626"/>
        <w:gridCol w:w="146"/>
        <w:gridCol w:w="946"/>
        <w:gridCol w:w="146"/>
        <w:gridCol w:w="3826"/>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6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SPWH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September 1, 2026, Sportsman’s Warehouse Holdings, Inc. (“the Company”) issued a press release reporting its results of operations for the twenty-six weeks ended August 1, 2026, a copy of which is furnished hereto as Exhibit 99.1 and is incorporated herein by reference.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in this Item 2.02 and the related information in Exhibit 99.1 attached hereto shall not be deemed "filed" for purposes of Section 18 of the Securities Exchange Act of 1934, as amended (the "Exchange Act"), or otherwise subject to the liabilities of that section and shall not be incorporated by reference into any filing of the Company under the Securities Act of 1933, as amended, or the Exchange Act, regardless of any general incorporation language in such filing, except as shall be expressly set forth by specific reference in any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Heading2"/>
        <w:bidi w:val="0"/>
        <w:jc w:val="left"/>
        <w:rPr/>
      </w:pPr>
      <w:r>
        <w:rPr/>
        <w:t> </w:t>
      </w:r>
    </w:p>
    <w:tbl>
      <w:tblPr>
        <w:tblW w:w="7787" w:type="dxa"/>
        <w:jc w:val="left"/>
        <w:tblInd w:w="0" w:type="dxa"/>
        <w:tblLayout w:type="fixed"/>
        <w:tblCellMar>
          <w:top w:w="28" w:type="dxa"/>
          <w:left w:w="28" w:type="dxa"/>
          <w:bottom w:w="28" w:type="dxa"/>
          <w:right w:w="28" w:type="dxa"/>
        </w:tblCellMar>
      </w:tblPr>
      <w:tblGrid>
        <w:gridCol w:w="1186"/>
        <w:gridCol w:w="6601"/>
      </w:tblGrid>
      <w:tr>
        <w:trPr/>
        <w:tc>
          <w:tcPr>
            <w:tcW w:w="118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99.1.</w:t>
            </w:r>
          </w:p>
        </w:tc>
        <w:tc>
          <w:tcPr>
            <w:tcW w:w="6601" w:type="dxa"/>
            <w:tcBorders/>
            <w:tcMar>
              <w:top w:w="0" w:type="dxa"/>
              <w:left w:w="0" w:type="dxa"/>
              <w:bottom w:w="0" w:type="dxa"/>
              <w:right w:w="0" w:type="dxa"/>
            </w:tcMar>
            <w:vAlign w:val="center"/>
          </w:tcPr>
          <w:p>
            <w:pPr>
              <w:pStyle w:val="Heading2"/>
              <w:bidi w:val="0"/>
              <w:spacing w:before="200" w:after="120"/>
              <w:jc w:val="left"/>
              <w:rPr/>
            </w:pPr>
            <w:hyperlink w:anchor="spwh-ex99_pr120722.htm">
              <w:r>
                <w:rPr>
                  <w:rStyle w:val="InternetLink"/>
                  <w:rFonts w:ascii="Times New Roman" w:hAnsi="Times New Roman"/>
                  <w:b/>
                  <w:color w:val="0000FF"/>
                  <w:sz w:val="20"/>
                  <w:u w:val="single"/>
                </w:rPr>
                <w:t>Press Release, dated September 1, 2026</w:t>
              </w:r>
            </w:hyperlink>
          </w:p>
        </w:tc>
      </w:tr>
      <w:tr>
        <w:trPr/>
        <w:tc>
          <w:tcPr>
            <w:tcW w:w="118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Heading2"/>
              <w:bidi w:val="0"/>
              <w:spacing w:before="200" w:after="120"/>
              <w:jc w:val="left"/>
              <w:rPr/>
            </w:pPr>
            <w:r>
              <w:rPr/>
              <w:t> </w:t>
            </w:r>
          </w:p>
        </w:tc>
      </w:tr>
      <w:tr>
        <w:trPr/>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Exhibit 104. </w:t>
            </w:r>
          </w:p>
        </w:tc>
        <w:tc>
          <w:tcPr>
            <w:tcW w:w="6601"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b w:val="false"/>
                <w:color w:val="000000"/>
                <w:sz w:val="20"/>
              </w:rPr>
            </w:pPr>
            <w:r>
              <w:rPr>
                <w:rFonts w:ascii="Times New Roman" w:hAnsi="Times New Roman"/>
                <w:b w:val="false"/>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964" w:type="dxa"/>
        <w:jc w:val="left"/>
        <w:tblInd w:w="0" w:type="dxa"/>
        <w:tblLayout w:type="fixed"/>
        <w:tblCellMar>
          <w:top w:w="28" w:type="dxa"/>
          <w:left w:w="28" w:type="dxa"/>
          <w:bottom w:w="28" w:type="dxa"/>
          <w:right w:w="28" w:type="dxa"/>
        </w:tblCellMar>
      </w:tblPr>
      <w:tblGrid>
        <w:gridCol w:w="556"/>
        <w:gridCol w:w="1621"/>
        <w:gridCol w:w="631"/>
        <w:gridCol w:w="4156"/>
      </w:tblGrid>
      <w:tr>
        <w:trPr/>
        <w:tc>
          <w:tcPr>
            <w:tcW w:w="55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5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SPORTSMAN'S WAREHOUSE HOLDINGS,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62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1, 2026</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15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Jennifer Fall Jung</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415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Jennifer Fall Jung</w:t>
              <w:br/>
              <w:t>Secretary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Times New Roman" w:hAnsi="Times New Roman"/>
          <w:b/>
          <w:color w:val="000000"/>
          <w:sz w:val="20"/>
        </w:rPr>
      </w:pPr>
      <w:bookmarkStart w:id="2" w:name="spwh-ex99_pr120722.htm"/>
      <w:bookmarkStart w:id="3" w:name="ksspwhex99_pr120722"/>
      <w:bookmarkEnd w:id="2"/>
      <w:bookmarkEnd w:id="3"/>
      <w:r>
        <w:rPr>
          <w:rFonts w:ascii="Times New Roman" w:hAnsi="Times New Roman"/>
          <w:b/>
          <w:color w:val="000000"/>
          <w:sz w:val="20"/>
        </w:rPr>
        <w:t>Exhibit 99.1</w:t>
      </w:r>
      <w:r>
        <w:br w:type="page"/>
      </w:r>
    </w:p>
    <w:p>
      <w:pPr>
        <w:pStyle w:val="Heading1"/>
        <w:bidi w:val="0"/>
        <w:jc w:val="center"/>
        <w:rPr/>
      </w:pPr>
      <w:r>
        <w:rPr/>
        <w:drawing>
          <wp:inline distT="0" distB="0" distL="0" distR="0">
            <wp:extent cx="3895725" cy="1771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95725" cy="1771650"/>
                    </a:xfrm>
                    <a:prstGeom prst="rect">
                      <a:avLst/>
                    </a:prstGeom>
                  </pic:spPr>
                </pic:pic>
              </a:graphicData>
            </a:graphic>
          </wp:inline>
        </w:drawing>
      </w:r>
    </w:p>
    <w:p>
      <w:pPr>
        <w:pStyle w:val="TextBody"/>
        <w:bidi w:val="0"/>
        <w:jc w:val="center"/>
        <w:rPr>
          <w:rFonts w:ascii="Times New Roman" w:hAnsi="Times New Roman"/>
          <w:sz w:val="24"/>
        </w:rPr>
      </w:pPr>
      <w:r>
        <w:rPr>
          <w:rFonts w:ascii="Times New Roman" w:hAnsi="Times New Roman"/>
          <w:b/>
          <w:color w:val="000000"/>
          <w:sz w:val="24"/>
        </w:rPr>
        <w:t>Sportsman’s Warehouse Holdings, Inc. Announces</w:t>
      </w:r>
      <w:r>
        <w:rPr>
          <w:rFonts w:ascii="Times New Roman" w:hAnsi="Times New Roman"/>
          <w:color w:val="000000"/>
          <w:sz w:val="24"/>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Second Quarter 2026 Financial Results</w:t>
      </w:r>
    </w:p>
    <w:p>
      <w:pPr>
        <w:pStyle w:val="TextBody"/>
        <w:bidi w:val="0"/>
        <w:jc w:val="center"/>
        <w:rPr>
          <w:rFonts w:ascii="Times New Roman" w:hAnsi="Times New Roman"/>
          <w:i/>
          <w:color w:val="000000"/>
          <w:sz w:val="22"/>
        </w:rPr>
      </w:pPr>
      <w:r>
        <w:rPr>
          <w:rFonts w:ascii="Times New Roman" w:hAnsi="Times New Roman"/>
          <w:i/>
          <w:color w:val="000000"/>
          <w:sz w:val="22"/>
        </w:rPr>
        <w:t>Reduces year-over-year inventory by $44.5 million and year-over-year debt by $26 million</w:t>
      </w:r>
    </w:p>
    <w:p>
      <w:pPr>
        <w:pStyle w:val="TextBody"/>
        <w:bidi w:val="0"/>
        <w:jc w:val="center"/>
        <w:rPr>
          <w:rFonts w:ascii="Times New Roman" w:hAnsi="Times New Roman"/>
          <w:i/>
          <w:color w:val="000000"/>
          <w:sz w:val="22"/>
        </w:rPr>
      </w:pPr>
      <w:r>
        <w:rPr>
          <w:rFonts w:ascii="Times New Roman" w:hAnsi="Times New Roman"/>
          <w:i/>
          <w:color w:val="000000"/>
          <w:sz w:val="22"/>
        </w:rPr>
        <w:t>Reaffirms full-year 2026 Guidance</w:t>
      </w:r>
    </w:p>
    <w:p>
      <w:pPr>
        <w:pStyle w:val="TextBody"/>
        <w:bidi w:val="0"/>
        <w:jc w:val="both"/>
        <w:rPr>
          <w:rFonts w:ascii="Times New Roman" w:hAnsi="Times New Roman"/>
          <w:sz w:val="20"/>
        </w:rPr>
      </w:pPr>
      <w:r>
        <w:rPr>
          <w:rFonts w:ascii="Times New Roman" w:hAnsi="Times New Roman"/>
          <w:color w:val="000000"/>
          <w:sz w:val="22"/>
        </w:rPr>
        <w:t>WEST JORDAN, Utah, September 1, 2026—Sportsman’s Warehouse Holdings, Inc. (“Sportsman’s Warehouse” or the “Company”)</w:t>
      </w:r>
      <w:r>
        <w:rPr>
          <w:rFonts w:ascii="Times New Roman" w:hAnsi="Times New Roman"/>
          <w:color w:val="000000"/>
          <w:sz w:val="20"/>
        </w:rPr>
        <w:t xml:space="preserve"> </w:t>
      </w:r>
      <w:r>
        <w:rPr>
          <w:rFonts w:ascii="Times New Roman" w:hAnsi="Times New Roman"/>
          <w:color w:val="000000"/>
          <w:sz w:val="22"/>
        </w:rPr>
        <w:t>(Nasdaq: SPWH) today announced financial results for the thirteen weeks ended August 1, 2026.</w:t>
      </w:r>
    </w:p>
    <w:p>
      <w:pPr>
        <w:pStyle w:val="TextBody"/>
        <w:bidi w:val="0"/>
        <w:jc w:val="both"/>
        <w:rPr/>
      </w:pPr>
      <w:r>
        <w:rPr>
          <w:color w:val="000000"/>
        </w:rPr>
        <w:t>“</w:t>
      </w:r>
      <w:r>
        <w:rPr>
          <w:rFonts w:ascii="Times New Roman" w:hAnsi="Times New Roman"/>
          <w:color w:val="000000"/>
          <w:sz w:val="22"/>
        </w:rPr>
        <w:t xml:space="preserve">I was pleased with our second quarter performance, despite a challenging consumer environment. While our customers continue to be selective with discretionary spending, we are encouraged by the progress we are making to strengthen Sportsman’s Warehouse and position the business for long-term profitable growth,” said Paul Stone, President and Chief Executive Officer of Sportsman’s Warehouse. “Our teams have moved with urgency to improve our value proposition, strengthen in-stocks, sharpen our assortment and localization, and deliver a better experience across our stores and digital channels, helping drive nearly 7% growth in our Hunting and Shooting Sports department during the quarter.” </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2"/>
        </w:rPr>
        <w:t>We enter the important fall and holiday seasons with our healthiest inventory position in years, more relevant merchandise, and a stronger balance sheet. While significant work remains, we are building momentum and remain confident in our plans for the second half of the year and our long-term opportunity to establish Sportsman's Warehouse as the leading retailer that combines national scale with local relevance.”</w:t>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For the thirteen weeks ended August 1,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1"/>
        </w:rPr>
      </w:pPr>
      <w:r>
        <w:rPr>
          <w:rFonts w:ascii="Times New Roman" w:hAnsi="Times New Roman"/>
          <w:color w:val="000000"/>
          <w:sz w:val="22"/>
        </w:rPr>
        <w:t xml:space="preserve">Net sales increased 0.6% to $295.6 million, compared to $293.9 million in the second quarter of fiscal year 2025, while same stores sales in the quarter were flat. Same store sales performance was driven primarily by a 6.7% gain in Hunting and Shooting Sports, led by Firearms and Ammunition, with some additional event-driven demand. Same store sales in our </w:t>
      </w:r>
      <w:r>
        <w:rPr>
          <w:rFonts w:ascii="Times New Roman" w:hAnsi="Times New Roman"/>
          <w:color w:val="000000"/>
          <w:sz w:val="21"/>
        </w:rPr>
        <w:t xml:space="preserve">Optics, Electronics, Accessories and Other department </w:t>
      </w:r>
      <w:r>
        <w:rPr>
          <w:rFonts w:ascii="Times New Roman" w:hAnsi="Times New Roman"/>
          <w:color w:val="000000"/>
          <w:sz w:val="22"/>
        </w:rPr>
        <w:t>increased by 1.0%, compared with the second quarter of fiscal year 2025. Our other categories declined, reflecting continued pressure on the U.S. consumer, and drought conditions in the western U.S. pressuring the fishing department.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Gross profit was $96.0 million, or 32.5% of net sales, compared to $93.9 million, or 32.0% of net sales, in the second quarter of fiscal year 2025. The increase, as a percentage of sales, was primarily due to more disciplined inventory management reducing overall freight expense and a one-time tariff benefit, partially offset by category mix shift.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Selling, general, and administrative (“SG&amp;A”) expenses were $97.1 million, or 32.9% of net sales, compared to $97.2 million, or 33.1% of net sales, in the second quarter of fiscal year 2025. The decrease in SG&amp;A expenses was primarily driven by decreased depreciation expense.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Net loss was $(4.4) million, compared to a net loss of $(7.1) million in the second quarter of fiscal year 2025. Adjusted net loss was $(3.1) million compared to an adjusted net loss of $(4.7) million in the second quarter of fiscal year 2025 (see “Non-GAAP and Other Financial Measures”).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Adjusted EBITDA was $8.7 million, compared to $8.3 million in the second quarter of fiscal year 2025 (see “Non-GAAP and Other Financial Measures”).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Diluted loss per share was $(0.11) compared to a diluted loss per share of $(0.18) in the second quarter of fiscal year 2025. Adjusted diluted loss per share was $(0.08) compared to adjusted diluted loss per share of $(0.12) in the second quarter of fiscal year 2025 (see “GAAP and Non-GAAP Financial Measures”).</w:t>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For the twenty-six weeks ended August 1,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Net sales were $551.7 million, an increase of 1.6%, compared to the first six months of fiscal year 2025. The net sales increase was primarily due to increased sales in our Hunting and Shooting Sports department led by firearms and ammunition, with some additional event-driven demand. Additionally, sales in our Fishing department are up nearly 1%. This increase led to a same store sales increase of 1.0% compared to the first six months of fiscal year 2025.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Gross profit was $171.8 million or 31.1% of net sales, compared to $169.6 million or 31.2% of net sales for the first six months of fiscal 2025. This decrease, as a percentage of net sales, was primarily due to unfavorable department level mix and rates, partially offset by lower freight from improved inventory management and a one-time tariff benefit.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SG&amp;A expenses decreased to $191.0 million or 34.6% of net sales, compared with $192.4 million or 35.4% of net sales for the first six months of fiscal year 2025, due to a decrease in depreciation expense, partially offset by increases in rent and other operating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Net loss was $(26.3) million, compared to net loss of $(28.3) million in the prior year period. Adjusted net loss was $(18.2) million, compared to adjusted net loss of $(20.3) million in the first six months of fiscal year 2025 (see “GAAP and Non-GAAP Financial Measures”).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Adjusted EBITDA was $0.6 million compared to $(0.7) million in the first six months of fiscal year 2025 (see “GAAP and Non-GAAP Financial Measures”).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Diluted loss per share was $(0.68), compared to diluted loss per share of $(0.74) in the first six months of fiscal year 2025. Adjusted diluted loss per share was $(0.47), compared to adjusted diluted loss per share of $(0.53) in the corresponding prior-year period (see “GAAP and Non-GAAP Financial Measures”). </w:t>
      </w:r>
    </w:p>
    <w:p>
      <w:pPr>
        <w:pStyle w:val="TextBody"/>
        <w:bidi w:val="0"/>
        <w:jc w:val="left"/>
        <w:rPr/>
      </w:pPr>
      <w:r>
        <w:rPr/>
        <w:t> </w:t>
      </w:r>
    </w:p>
    <w:p>
      <w:pPr>
        <w:pStyle w:val="TextBody"/>
        <w:bidi w:val="0"/>
        <w:jc w:val="both"/>
        <w:rPr>
          <w:rFonts w:ascii="Times New Roman" w:hAnsi="Times New Roman"/>
          <w:sz w:val="22"/>
        </w:rPr>
      </w:pPr>
      <w:r>
        <w:rPr>
          <w:rFonts w:ascii="Times New Roman" w:hAnsi="Times New Roman"/>
          <w:b/>
          <w:color w:val="000000"/>
          <w:sz w:val="22"/>
        </w:rPr>
        <w:t>Balance sheet and capital allocation highlights as of August 1, 2026:</w:t>
      </w:r>
      <w:r>
        <w:rPr>
          <w:rFonts w:ascii="Times New Roman" w:hAnsi="Times New Roman"/>
          <w:color w:val="000000"/>
          <w:sz w:val="22"/>
        </w:rPr>
        <w:t xml:space="preserve">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The Company ended the second quarter with net debt of $167.0 million, comprised of $2.0 million of cash on hand, $43.9 million of net borrowings outstanding under the Company’s term loan facility and $125.1 million of net borrowings outstanding under the Company’s revolving credit facility. Total inventory at the end of the second quarter was $399.0 million, a decrease of $44.5 million compared to last year, reflecting our strategy to improve seasonally timed inventory and gain additional efficiency in our operating model.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Total liquidity was $105.0 million as of the end of the second quarter of fiscal year 2026, comprised of $103.0 million of availability on the term loan and revolving credit facilities and $2.0 million of cash and cash equivalents.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b/>
          <w:color w:val="000000"/>
          <w:sz w:val="22"/>
        </w:rPr>
        <w:t>Fiscal Year</w:t>
      </w:r>
      <w:r>
        <w:rPr>
          <w:rFonts w:ascii="Times New Roman" w:hAnsi="Times New Roman"/>
          <w:color w:val="000000"/>
          <w:sz w:val="22"/>
        </w:rPr>
        <w:t xml:space="preserve"> </w:t>
      </w:r>
      <w:r>
        <w:rPr>
          <w:rFonts w:ascii="Times New Roman" w:hAnsi="Times New Roman"/>
          <w:b/>
          <w:color w:val="000000"/>
          <w:sz w:val="22"/>
        </w:rPr>
        <w:t>2026 Outlook:</w:t>
      </w:r>
    </w:p>
    <w:p>
      <w:pPr>
        <w:pStyle w:val="TextBody"/>
        <w:bidi w:val="0"/>
        <w:jc w:val="both"/>
        <w:rPr>
          <w:rFonts w:ascii="Times New Roman" w:hAnsi="Times New Roman"/>
          <w:color w:val="000000"/>
          <w:sz w:val="22"/>
        </w:rPr>
      </w:pPr>
      <w:r>
        <w:rPr>
          <w:rFonts w:ascii="Times New Roman" w:hAnsi="Times New Roman"/>
          <w:color w:val="000000"/>
          <w:sz w:val="22"/>
        </w:rPr>
        <w:t>For fiscal year 2026, the Company is reiterating its guidance and estimates same store sales to be in the range of down 1.0% to up 2.0% and adjusted EBITDA to be in the range of $30 million to $36 million. The Company also expects capital expenditures for 2026 to be in the range of $20 million to $25 million, primarily consisting of technology investments and general store maintenance. There are no new store openings planned for 2026.</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2"/>
        </w:rPr>
        <w:t>We made meaningful progress in the second quarter, with sales essentially flat, a 50-basis-point improvement in gross margin and continued disciplined management of expenses and inventory,” said Jennifer Fall Jung, Chief Financial Officer of Sportsman’s Warehouse. “Our inventory is down $44.5 million, or 10%, year over year, and we reduced net debt by $26 million while maintaining $105 million of liquidity. These improvements reflect the team’s focus on working capital, cost discipline and positioning the business for the back half of the year. While we continue to operate in a challenging consumer environment, we are entering the second half of the year with a healthier balance sheet, improved inventory efficiency and a refreshed assortment. We remain committed to generating positive free cash flow, reducing debt and creating a stronger financial foundation for sustainable, profitable growth.”</w:t>
      </w:r>
    </w:p>
    <w:p>
      <w:pPr>
        <w:pStyle w:val="TextBody"/>
        <w:bidi w:val="0"/>
        <w:jc w:val="both"/>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Company has not reconciled expected adjusted EBITDA for fiscal year 2026 to GAAP net income because the Company does not provide guidance for net (loss) income and is not able to provide a reconciliation to net (loss) income without unreasonable effort. The Company is not able to estimate net (loss) income on a forward-looking basis without unreasonable efforts due to the variability and complexity with respect to the charges excluded from adjusted EBITDA.</w:t>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Conference Call Information: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conference call to discuss second quarter 2026 financial results is scheduled for September 1, 2026, at 5:00 PM Eastern Time. The conference call will be held via webcast and may be accessed via the Investor Relations section of the Company’s website at www.sportsmans.com.</w:t>
      </w:r>
    </w:p>
    <w:p>
      <w:pPr>
        <w:pStyle w:val="TextBody"/>
        <w:bidi w:val="0"/>
        <w:jc w:val="both"/>
        <w:rPr>
          <w:rFonts w:ascii="Times New Roman" w:hAnsi="Times New Roman"/>
          <w:b/>
          <w:color w:val="000000"/>
          <w:sz w:val="22"/>
        </w:rPr>
      </w:pPr>
      <w:r>
        <w:rPr>
          <w:rFonts w:ascii="Times New Roman" w:hAnsi="Times New Roman"/>
          <w:b/>
          <w:color w:val="000000"/>
          <w:sz w:val="22"/>
        </w:rPr>
        <w:t>Non-GAAP and Other Financial Measures</w:t>
      </w:r>
    </w:p>
    <w:p>
      <w:pPr>
        <w:pStyle w:val="TextBody"/>
        <w:bidi w:val="0"/>
        <w:jc w:val="left"/>
        <w:rPr>
          <w:rFonts w:ascii="Times New Roman" w:hAnsi="Times New Roman"/>
          <w:color w:val="000000"/>
          <w:sz w:val="22"/>
        </w:rPr>
      </w:pPr>
      <w:r>
        <w:rPr>
          <w:rFonts w:ascii="Times New Roman" w:hAnsi="Times New Roman"/>
          <w:color w:val="000000"/>
          <w:sz w:val="22"/>
        </w:rPr>
        <w:t xml:space="preserve">This press release includes the following financial measures defined as non-GAAP financial measures by the Securities and Exchange Commission (the “SEC”) and that are not calculated in accordance with U.S. generally accepted accounting principles (“GAAP”): adjusted net (loss) income, adjusted diluted (loss) earnings per share and adjusted EBITDA. The Company defines adjusted net (loss) income as net (loss) income plus management transition costs, executive retention costs, legal accrual, valuation allowance, and income tax expense (benefit). Net (loss) income is the most comparable GAAP financial measure to adjusted net (loss) income. The Company defines adjusted diluted (loss) earnings per share as adjusted net (loss) income divided by diluted weighted average shares outstanding. Diluted (loss) earnings per share is the most comparable GAAP financial measure to adjusted diluted (loss) earnings per share. The Company defines adjusted EBITDA as net (loss) income plus interest expense, income tax expense (benefit), depreciation and amortization, stock-based compensation expense, management transition costs, executive retention costs and legal accrual. Net (loss) income is the most comparable GAAP financial measure to adjusted EBITDA. The Company has reconciled these non-GAAP financial measures to the most directly comparable GAAP financial measures under “GAAP and Non-GAAP Financial Measures” in this release.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The Company believes that these non-GAAP financial measures not only provide its management with comparable financial data for internal financial analysis but also provide meaningful supplemental information to investors and are frequently used by analysts, investors and other interested parties in the evaluation of companies in the Company’s industry. Specifically, these non-GAAP financial measures allow investors to better understand the performance of the Company’s business and facilitate a more meaningful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jc w:val="left"/>
        <w:rPr>
          <w:rFonts w:ascii="Times New Roman" w:hAnsi="Times New Roman"/>
          <w:color w:val="000000"/>
          <w:sz w:val="22"/>
        </w:rPr>
      </w:pPr>
      <w:r>
        <w:rPr>
          <w:rFonts w:ascii="Times New Roman" w:hAnsi="Times New Roman"/>
          <w:color w:val="000000"/>
          <w:sz w:val="22"/>
        </w:rPr>
        <w:t>comparison of its diluted (loss) earnings per share and actual results on a period-over-period basis. The Company has provided this information as a means to evaluate the results of its ongoing operations. Management uses this information as additional measurement tools for purposes of business decision-making, including evaluating store performance, developing budgets and managing expenditures. Other companies in the Company’s industry may calculate these items differently than the Company does. Each of these measures is not a measure of performance under GAAP and should not be considered as a substitute for the most directly comparable financial measures prepared in accordance with GAAP. Non-GAAP financial measures have limitations as analytical tools, and investors should not consider them in isolation or as a substitute for analysis of the Company’s results as reported under GAAP. The Company’s management believes that these non-GAAP financial measures allow investors to evaluate the Company’s operating performance and compare its results of operations from period to period on a consistent basis by excluding items that management does not believe are indicative of the Company’s core operating performance. The presentation of such measures, which may include adjustments to exclude unusual or non-recurring items, should not be construed as an inference that the Company’s future results, cash flows or leverage will be unaffected by other unusual or non-recurring items.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As noted above, the Company has not provided a reconciliation of fiscal year 2026 guidance for adjusted EBITDA, in reliance on the unreasonable efforts exception provided under Item 10(e)(1)(i)(B) of Regulation S-K. The Company is unable, without unreasonable efforts, to forecast certain items required to develop meaningful comparable GAAP financial measures, including stock-based compensation expense and income tax expense (benefit) that are difficult to predict in order to include in a GAAP estimate. The Company defines net debt as borrowings outstanding under the Company’s revolving credit facility and term loan facility less cash and cash equivalents. The Company defines total liquidity as total availability under the Company’s revolving credit facility plus cash and cash equivalents.</w:t>
      </w:r>
    </w:p>
    <w:p>
      <w:pPr>
        <w:pStyle w:val="TextBody"/>
        <w:bidi w:val="0"/>
        <w:jc w:val="left"/>
        <w:rPr/>
      </w:pPr>
      <w:r>
        <w:rPr/>
        <w:t> </w:t>
      </w:r>
    </w:p>
    <w:p>
      <w:pPr>
        <w:pStyle w:val="TextBody"/>
        <w:bidi w:val="0"/>
        <w:jc w:val="both"/>
        <w:rPr>
          <w:rFonts w:ascii="Times New Roman" w:hAnsi="Times New Roman"/>
          <w:sz w:val="22"/>
        </w:rPr>
      </w:pPr>
      <w:r>
        <w:rPr>
          <w:rFonts w:ascii="Times New Roman" w:hAnsi="Times New Roman"/>
          <w:b/>
          <w:color w:val="000000"/>
          <w:sz w:val="22"/>
        </w:rPr>
        <w:t>Forward-Looking Statements</w:t>
      </w:r>
      <w:r>
        <w:rPr>
          <w:rFonts w:ascii="Times New Roman" w:hAnsi="Times New Roman"/>
          <w:color w:val="000000"/>
          <w:sz w:val="22"/>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 xml:space="preserve">This press release includes forward-looking statements within the meaning of the Private Securities Litigation Reform Act of 1995 as contained in Section 27A of the Securities Act of 1933 and Section 21E of the Securities Exchange Act of 1934. Forward-looking statements in this release include, but are not limited to, statements regarding our efforts to generate positive free cash flow, reduce debt and create a stronger financial foundation for sustainable, profitable growth; our expectations regarding momentum in our business and our ability to establish the Company as a leading retailer that combines national scale with local relevance; the impact of our strategic initiatives; and our guidance for Adjusted EBITDA, as well as same store sales and capital expenditures for fiscal year 2026 and the number of store openings in 2026. Investors can identify these statements by the fact that they use words such as “aim,” “anticipate,” “assume,” “believe,” “can have,” “could,” “due,” “estimate,” “expect,” “goal,” “intend,” “likely,” “may,” “objective,” “plan,” “positioned,” “potential,” “predict,” “should,” “target,” “will,” “would” and similar terms and phrases. These forward-looking statements are based on current expectations, estimates, forecasts and projections about our business and the industry in which we operate and our management’s beliefs and assumptions. We derive many of our forward-looking statements from our own operating budgets and forecasts, which are based upon many detailed assumptions. While we believe that our assumptions are reasonable, we caution that predicting the impact of known factors is very difficult, and we cannot anticipate all factors that could affect our actual results. The Company cannot assure investors that future developments affecting the Company will be those that it has anticipated. Actual results may differ materially from these expectations due to many factors including, but not limited to: current and future government regulations, in particular regulations relating to the sale of firearms and ammunition, which may negatively impact the demand for the Company’s products and ability to conduct its business; the Company’s retail-based business model, which is impacted by general economic and market conditions such as elevated interest rates, inflationary pressures and economic, market and financial uncertainties that may cause a decline in consumer spending; the Company’s concentration of stores in the Western United States which makes the Company susceptible to adverse conditions in this region, and could affect the Company’s sales and cause its operating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jc w:val="left"/>
        <w:rPr>
          <w:rFonts w:ascii="Times New Roman" w:hAnsi="Times New Roman"/>
          <w:color w:val="000000"/>
          <w:sz w:val="22"/>
        </w:rPr>
      </w:pPr>
      <w:r>
        <w:rPr>
          <w:rFonts w:ascii="Times New Roman" w:hAnsi="Times New Roman"/>
          <w:color w:val="000000"/>
          <w:sz w:val="22"/>
        </w:rPr>
        <w:t>results to suffer; the highly fragmented and competitive industry in which the Company operates and the potential for increased competition; changes in consumer demands, including regional preferences, which we may not be able to identify and respond to in a timely manner; the Company’s entrance into new markets or operations in existing markets, including the Company’s long-term strategy to open new stores in future periods, which may not be successful; the costs to close underperforming stores, if the Company decides to do so, which costs may be significant; stringent and evolving U.S. obligations related to data privacy and security; impact of general macroeconomic conditions, such as labor shortages, inflation, elevated interest rates, the impacts of tariffs and trade disputes, economic slowdowns, and recessions or market corrections; and other factors that are set forth in the Company’s filings with the SEC, including under the caption “Risk Factors” in the Company’s Form 10-K for the fiscal year ended January 31, 2026, which was filed with the SEC on March 31, 2026, and the Company’s other public filings made with the SEC and available at www.sec.gov. If one or more of these risks or uncertainties materialize, or if any of the Company’s assumptions prove incorrect, the Company’s actual results may vary in material respects from those projected in these forward-looking statements. Any forward-looking statement made by the Company in this release speaks only as of the date on which the Company makes it. Factors or events that could cause the Company’s actual results to differ may emerge from time to time, and it is not possible for the Company to predict all of them. The Company undertakes no obligation to publicly update any forward-looking statement, whether as a result of new information, future developments or otherwise, except as may be required by any applicable securities laws.</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About Sportsman’s Warehouse Holdings, Inc.</w:t>
      </w:r>
    </w:p>
    <w:p>
      <w:pPr>
        <w:pStyle w:val="TextBody"/>
        <w:bidi w:val="0"/>
        <w:jc w:val="both"/>
        <w:rPr>
          <w:rFonts w:ascii="Times New Roman" w:hAnsi="Times New Roman"/>
          <w:color w:val="000000"/>
          <w:sz w:val="22"/>
        </w:rPr>
      </w:pPr>
      <w:r>
        <w:rPr>
          <w:rFonts w:ascii="Times New Roman" w:hAnsi="Times New Roman"/>
          <w:color w:val="000000"/>
          <w:sz w:val="22"/>
        </w:rPr>
        <w:t>Sportsman’s Warehouse Holdings, Inc. is an outdoor specialty retailer focused on meeting the needs of the seasoned outdoor veteran, the first-time participant, and everyone in between. We provide outstanding gear and exceptional service to inspire outdoor memories.</w:t>
      </w:r>
    </w:p>
    <w:p>
      <w:pPr>
        <w:pStyle w:val="TextBody"/>
        <w:bidi w:val="0"/>
        <w:jc w:val="both"/>
        <w:rPr>
          <w:rFonts w:ascii="Times New Roman" w:hAnsi="Times New Roman"/>
          <w:color w:val="000000"/>
          <w:sz w:val="22"/>
        </w:rPr>
      </w:pPr>
      <w:r>
        <w:rPr>
          <w:rFonts w:ascii="Times New Roman" w:hAnsi="Times New Roman"/>
          <w:color w:val="000000"/>
          <w:sz w:val="22"/>
        </w:rPr>
        <w:t xml:space="preserve">For press releases and certain additional information about the Company, visit the Investor Relations section of the Company's website at www.sportsmans.com.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Investor Contact:</w:t>
      </w:r>
    </w:p>
    <w:p>
      <w:pPr>
        <w:pStyle w:val="TextBody"/>
        <w:bidi w:val="0"/>
        <w:jc w:val="left"/>
        <w:rPr>
          <w:rFonts w:ascii="Times New Roman" w:hAnsi="Times New Roman"/>
          <w:color w:val="000000"/>
          <w:sz w:val="22"/>
        </w:rPr>
      </w:pPr>
      <w:r>
        <w:rPr>
          <w:rFonts w:ascii="Times New Roman" w:hAnsi="Times New Roman"/>
          <w:color w:val="000000"/>
          <w:sz w:val="22"/>
        </w:rPr>
        <w:t>Riley Timmer</w:t>
      </w:r>
    </w:p>
    <w:p>
      <w:pPr>
        <w:pStyle w:val="TextBody"/>
        <w:bidi w:val="0"/>
        <w:jc w:val="left"/>
        <w:rPr>
          <w:rFonts w:ascii="Times New Roman" w:hAnsi="Times New Roman"/>
          <w:color w:val="000000"/>
          <w:sz w:val="22"/>
        </w:rPr>
      </w:pPr>
      <w:r>
        <w:rPr>
          <w:rFonts w:ascii="Times New Roman" w:hAnsi="Times New Roman"/>
          <w:color w:val="000000"/>
          <w:sz w:val="22"/>
        </w:rPr>
        <w:t xml:space="preserve">Vice President, Strategic Programs &amp; Investor Relations </w:t>
      </w:r>
    </w:p>
    <w:p>
      <w:pPr>
        <w:pStyle w:val="TextBody"/>
        <w:bidi w:val="0"/>
        <w:jc w:val="left"/>
        <w:rPr>
          <w:rFonts w:ascii="Times New Roman" w:hAnsi="Times New Roman"/>
          <w:color w:val="000000"/>
          <w:sz w:val="22"/>
        </w:rPr>
      </w:pPr>
      <w:r>
        <w:rPr>
          <w:rFonts w:ascii="Times New Roman" w:hAnsi="Times New Roman"/>
          <w:color w:val="000000"/>
          <w:sz w:val="22"/>
        </w:rPr>
        <w:t>Sportsman’s Warehouse</w:t>
      </w:r>
    </w:p>
    <w:p>
      <w:pPr>
        <w:pStyle w:val="TextBody"/>
        <w:bidi w:val="0"/>
        <w:jc w:val="left"/>
        <w:rPr>
          <w:rFonts w:ascii="Times New Roman" w:hAnsi="Times New Roman"/>
          <w:color w:val="000000"/>
          <w:sz w:val="22"/>
        </w:rPr>
      </w:pPr>
      <w:r>
        <w:rPr>
          <w:rFonts w:ascii="Times New Roman" w:hAnsi="Times New Roman"/>
          <w:color w:val="000000"/>
          <w:sz w:val="22"/>
        </w:rPr>
        <w:t>(801) 566-6681</w:t>
      </w:r>
    </w:p>
    <w:p>
      <w:pPr>
        <w:pStyle w:val="TextBody"/>
        <w:bidi w:val="0"/>
        <w:jc w:val="left"/>
        <w:rPr>
          <w:rFonts w:ascii="Times New Roman" w:hAnsi="Times New Roman"/>
          <w:color w:val="0000FF"/>
          <w:sz w:val="22"/>
          <w:u w:val="single"/>
        </w:rPr>
      </w:pPr>
      <w:r>
        <w:rPr>
          <w:rFonts w:ascii="Times New Roman" w:hAnsi="Times New Roman"/>
          <w:color w:val="0000FF"/>
          <w:sz w:val="22"/>
          <w:u w:val="single"/>
        </w:rPr>
        <w:t>investors@sportsmans.com</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jc w:val="left"/>
        <w:rPr/>
      </w:pPr>
      <w:r>
        <w:rPr/>
        <w:t>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SPORTSMAN’S WAREHOUSE HOLDINGS,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 (Unaudited)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883"/>
        <w:gridCol w:w="252"/>
        <w:gridCol w:w="935"/>
        <w:gridCol w:w="166"/>
        <w:gridCol w:w="146"/>
        <w:gridCol w:w="948"/>
        <w:gridCol w:w="146"/>
        <w:gridCol w:w="252"/>
        <w:gridCol w:w="935"/>
        <w:gridCol w:w="166"/>
        <w:gridCol w:w="146"/>
        <w:gridCol w:w="948"/>
        <w:gridCol w:w="146"/>
        <w:gridCol w:w="307"/>
        <w:gridCol w:w="832"/>
        <w:gridCol w:w="997"/>
      </w:tblGrid>
      <w:tr>
        <w:trPr/>
        <w:tc>
          <w:tcPr>
            <w:tcW w:w="288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9208"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Thirteen Weeks Ended</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net sales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2, 2025</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net sales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YOY Variance</w:t>
            </w:r>
          </w:p>
        </w:tc>
        <w:tc>
          <w:tcPr>
            <w:tcW w:w="99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67.5%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68.0%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w:t>
            </w:r>
          </w:p>
        </w:tc>
      </w:tr>
      <w:tr>
        <w:trPr/>
        <w:tc>
          <w:tcPr>
            <w:tcW w:w="2883"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Gross profit</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32.5%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32.0%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8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general, and administrative expenses</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32.9%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33.1%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w:t>
            </w:r>
          </w:p>
        </w:tc>
      </w:tr>
      <w:tr>
        <w:trPr/>
        <w:tc>
          <w:tcPr>
            <w:tcW w:w="2883"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Loss from operations</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w:t>
            </w:r>
          </w:p>
        </w:tc>
        <w:tc>
          <w:tcPr>
            <w:tcW w:w="9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8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losses</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w:t>
            </w:r>
          </w:p>
        </w:tc>
      </w:tr>
      <w:tr>
        <w:trPr/>
        <w:tc>
          <w:tcPr>
            <w:tcW w:w="2883"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Loss before income taxes</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w:t>
            </w:r>
          </w:p>
        </w:tc>
      </w:tr>
      <w:tr>
        <w:trPr/>
        <w:tc>
          <w:tcPr>
            <w:tcW w:w="2883"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Net loss</w:t>
            </w:r>
          </w:p>
        </w:tc>
        <w:tc>
          <w:tcPr>
            <w:tcW w:w="25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(4,427</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(1.5%)</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5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(7,083</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(2.4%)</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w:t>
            </w:r>
          </w:p>
        </w:tc>
        <w:tc>
          <w:tcPr>
            <w:tcW w:w="997" w:type="dxa"/>
            <w:tcBorders>
              <w:bottom w:val="single" w:sz="18"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288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per share</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288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Basic</w:t>
            </w:r>
          </w:p>
        </w:tc>
        <w:tc>
          <w:tcPr>
            <w:tcW w:w="25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997" w:type="dxa"/>
            <w:tcBorders>
              <w:bottom w:val="single" w:sz="18"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288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Diluted</w:t>
            </w:r>
          </w:p>
        </w:tc>
        <w:tc>
          <w:tcPr>
            <w:tcW w:w="25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99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288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Basic</w:t>
            </w:r>
          </w:p>
        </w:tc>
        <w:tc>
          <w:tcPr>
            <w:tcW w:w="25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39,044</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38,376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997"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288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Diluted</w:t>
            </w:r>
          </w:p>
        </w:tc>
        <w:tc>
          <w:tcPr>
            <w:tcW w:w="25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39,044</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38,376</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99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tbl>
      <w:tblPr>
        <w:tblW w:w="10205" w:type="dxa"/>
        <w:jc w:val="left"/>
        <w:tblInd w:w="0" w:type="dxa"/>
        <w:tblLayout w:type="fixed"/>
        <w:tblCellMar>
          <w:top w:w="28" w:type="dxa"/>
          <w:left w:w="28" w:type="dxa"/>
          <w:bottom w:w="28" w:type="dxa"/>
          <w:right w:w="28" w:type="dxa"/>
        </w:tblCellMar>
      </w:tblPr>
      <w:tblGrid>
        <w:gridCol w:w="2870"/>
        <w:gridCol w:w="253"/>
        <w:gridCol w:w="936"/>
        <w:gridCol w:w="166"/>
        <w:gridCol w:w="146"/>
        <w:gridCol w:w="952"/>
        <w:gridCol w:w="146"/>
        <w:gridCol w:w="253"/>
        <w:gridCol w:w="936"/>
        <w:gridCol w:w="166"/>
        <w:gridCol w:w="146"/>
        <w:gridCol w:w="952"/>
        <w:gridCol w:w="146"/>
        <w:gridCol w:w="286"/>
        <w:gridCol w:w="856"/>
        <w:gridCol w:w="995"/>
      </w:tblGrid>
      <w:tr>
        <w:trPr/>
        <w:tc>
          <w:tcPr>
            <w:tcW w:w="287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9210"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Twenty-Six Weeks Ended</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8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net sales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2, 2025</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net sales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YOY Variance</w:t>
            </w:r>
          </w:p>
        </w:tc>
        <w:tc>
          <w:tcPr>
            <w:tcW w:w="99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8,659</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68.9%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68.8%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6,458</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pPr>
            <w:r>
              <w:rPr/>
              <w:t> </w:t>
            </w:r>
          </w:p>
        </w:tc>
      </w:tr>
      <w:tr>
        <w:trPr/>
        <w:tc>
          <w:tcPr>
            <w:tcW w:w="2870"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Gross profit</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31.1%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31.2%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general and administrative expenses</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34.6%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35.4%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w:t>
            </w:r>
          </w:p>
        </w:tc>
      </w:tr>
      <w:tr>
        <w:trPr/>
        <w:tc>
          <w:tcPr>
            <w:tcW w:w="2870"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Loss from operations</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3,595</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losses</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w:t>
            </w:r>
          </w:p>
        </w:tc>
      </w:tr>
      <w:tr>
        <w:trPr/>
        <w:tc>
          <w:tcPr>
            <w:tcW w:w="2870"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Loss before income taxes</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pPr>
            <w:r>
              <w:rPr/>
              <w:t> </w:t>
            </w:r>
          </w:p>
        </w:tc>
      </w:tr>
      <w:tr>
        <w:trPr/>
        <w:tc>
          <w:tcPr>
            <w:tcW w:w="2870"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Net loss</w:t>
            </w:r>
          </w:p>
        </w:tc>
        <w:tc>
          <w:tcPr>
            <w:tcW w:w="25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(26,275</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(4.8%)</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5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(28,337</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(5.2%)</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w:t>
            </w:r>
          </w:p>
        </w:tc>
        <w:tc>
          <w:tcPr>
            <w:tcW w:w="995" w:type="dxa"/>
            <w:tcBorders>
              <w:bottom w:val="single" w:sz="18"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2870"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per share</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2870"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Basic</w:t>
            </w:r>
          </w:p>
        </w:tc>
        <w:tc>
          <w:tcPr>
            <w:tcW w:w="25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995" w:type="dxa"/>
            <w:tcBorders>
              <w:bottom w:val="single" w:sz="18"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2870"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Diluted</w:t>
            </w:r>
          </w:p>
        </w:tc>
        <w:tc>
          <w:tcPr>
            <w:tcW w:w="25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99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1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2870"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Basic</w:t>
            </w:r>
          </w:p>
        </w:tc>
        <w:tc>
          <w:tcPr>
            <w:tcW w:w="25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38,904</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38,260</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995"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2870"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Diluted</w:t>
            </w:r>
          </w:p>
        </w:tc>
        <w:tc>
          <w:tcPr>
            <w:tcW w:w="25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38,904</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38,260</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99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SPORTSMAN’S WAREHOUSE HOLDINGS,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 (Unaudited)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par value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92"/>
        <w:gridCol w:w="146"/>
        <w:gridCol w:w="211"/>
        <w:gridCol w:w="781"/>
        <w:gridCol w:w="146"/>
        <w:gridCol w:w="146"/>
        <w:gridCol w:w="211"/>
        <w:gridCol w:w="781"/>
        <w:gridCol w:w="791"/>
      </w:tblGrid>
      <w:tr>
        <w:trPr/>
        <w:tc>
          <w:tcPr>
            <w:tcW w:w="6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Merchandise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312,858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337,741</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 of 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288,590</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 of 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133,329</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Definite lived intangibles,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836,102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762,582</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102,450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liability,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53,763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Finance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Revolving line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249,029</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Term loan,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44,165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liability,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279,933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Finance lease liability,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308,949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324,993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672,311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574,022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Common stock, $.01 par value; 100,000 shares authorized; 39,120 and 38,641 shares issued and outstanding,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88,911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Accumulated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99,263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188,560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836,102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762,582</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SPORTSMAN’S WAREHOUSE HOLDINGS,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Cash Flows (Unaudited)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jc w:val="center"/>
        <w:rPr/>
      </w:pPr>
      <w:r>
        <w:rPr/>
        <w:t> </w:t>
      </w:r>
    </w:p>
    <w:tbl>
      <w:tblPr>
        <w:tblW w:w="9964" w:type="dxa"/>
        <w:jc w:val="left"/>
        <w:tblInd w:w="0" w:type="dxa"/>
        <w:tblLayout w:type="fixed"/>
        <w:tblCellMar>
          <w:top w:w="28" w:type="dxa"/>
          <w:left w:w="28" w:type="dxa"/>
          <w:bottom w:w="28" w:type="dxa"/>
          <w:right w:w="28" w:type="dxa"/>
        </w:tblCellMar>
      </w:tblPr>
      <w:tblGrid>
        <w:gridCol w:w="6516"/>
        <w:gridCol w:w="146"/>
        <w:gridCol w:w="211"/>
        <w:gridCol w:w="736"/>
        <w:gridCol w:w="166"/>
        <w:gridCol w:w="146"/>
        <w:gridCol w:w="211"/>
        <w:gridCol w:w="841"/>
        <w:gridCol w:w="991"/>
      </w:tblGrid>
      <w:tr>
        <w:trPr/>
        <w:tc>
          <w:tcPr>
            <w:tcW w:w="6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(28,337</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income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19,765</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discount on debt and deferred financing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definite lived intangible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asset dispositions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operating assets and liabilities, net of amounts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Operating lease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Merchandise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(101,541</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24,261</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(86,799</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(11,180</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(11,169</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borrowings on line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76,561</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Borrowings on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(Decrease) increase in book overdraft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per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withholdings on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deferred financing costs and discount on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96,940</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SPORTSMAN’S WAREHOUSE HOLDINGS, INC.</w:t>
      </w:r>
    </w:p>
    <w:p>
      <w:pPr>
        <w:pStyle w:val="TextBody"/>
        <w:bidi w:val="0"/>
        <w:jc w:val="center"/>
        <w:rPr>
          <w:rFonts w:ascii="Times New Roman" w:hAnsi="Times New Roman"/>
          <w:b/>
          <w:color w:val="000000"/>
          <w:sz w:val="20"/>
        </w:rPr>
      </w:pPr>
      <w:r>
        <w:rPr>
          <w:rFonts w:ascii="Times New Roman" w:hAnsi="Times New Roman"/>
          <w:b/>
          <w:color w:val="000000"/>
          <w:sz w:val="20"/>
        </w:rPr>
        <w:t>GAAP and Non-GAAP Financial Measures (Unaudited)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48"/>
        <w:gridCol w:w="171"/>
        <w:gridCol w:w="248"/>
        <w:gridCol w:w="171"/>
        <w:gridCol w:w="795"/>
        <w:gridCol w:w="195"/>
        <w:gridCol w:w="171"/>
        <w:gridCol w:w="248"/>
        <w:gridCol w:w="171"/>
        <w:gridCol w:w="795"/>
        <w:gridCol w:w="195"/>
        <w:gridCol w:w="171"/>
        <w:gridCol w:w="248"/>
        <w:gridCol w:w="171"/>
        <w:gridCol w:w="865"/>
        <w:gridCol w:w="195"/>
        <w:gridCol w:w="171"/>
        <w:gridCol w:w="318"/>
        <w:gridCol w:w="171"/>
        <w:gridCol w:w="865"/>
        <w:gridCol w:w="222"/>
      </w:tblGrid>
      <w:tr>
        <w:trPr/>
        <w:tc>
          <w:tcPr>
            <w:tcW w:w="364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9983" w:type="dxa"/>
            <w:gridSpan w:val="20"/>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following table presents the reconciliations of (i) GAAP net loss to adjusted net loss and (ii) GAAP diluted loss per share to adjusted diluted loss per share:</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Thirteen Weeks Ended</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Twenty-Six Weeks Ended</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2026</w:t>
            </w:r>
          </w:p>
        </w:tc>
        <w:tc>
          <w:tcPr>
            <w:tcW w:w="19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4"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2, 2025</w:t>
            </w:r>
          </w:p>
        </w:tc>
        <w:tc>
          <w:tcPr>
            <w:tcW w:w="19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4"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2026</w:t>
            </w:r>
          </w:p>
        </w:tc>
        <w:tc>
          <w:tcPr>
            <w:tcW w:w="19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4"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2, 2025</w:t>
            </w:r>
          </w:p>
        </w:tc>
        <w:tc>
          <w:tcPr>
            <w:tcW w:w="22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(28,337</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 (1)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transition costs (2)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retention (3)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accrual (4)</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tax benefit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loss</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(4,653</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(18,243</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(20,261</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 average shares outstanding</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38,376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38,260</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loss per share:</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loss per share:</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adjustments to numerator and denominator</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diluted loss per share:</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9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9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9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22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3" w:type="dxa"/>
            <w:gridSpan w:val="20"/>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Represents estimated tax benefit had the company not been in a deferred tax asset valuation allowance position.</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3" w:type="dxa"/>
            <w:gridSpan w:val="20"/>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Represents expenses incurred relating to the departure and the recruitment of key members of our management team.</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3" w:type="dxa"/>
            <w:gridSpan w:val="20"/>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An executive retention bonus implemented to maintain leadership continuity and organizational stability throughout the turnaround process.</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3" w:type="dxa"/>
            <w:gridSpan w:val="20"/>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 Represents an accrual for a legal settlement and related fees and expense.</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SPORTSMAN’S WAREHOUSE HOLDINGS, INC.</w:t>
      </w:r>
    </w:p>
    <w:p>
      <w:pPr>
        <w:pStyle w:val="TextBody"/>
        <w:bidi w:val="0"/>
        <w:jc w:val="center"/>
        <w:rPr>
          <w:rFonts w:ascii="Times New Roman" w:hAnsi="Times New Roman"/>
          <w:b/>
          <w:color w:val="000000"/>
          <w:sz w:val="20"/>
        </w:rPr>
      </w:pPr>
      <w:r>
        <w:rPr>
          <w:rFonts w:ascii="Times New Roman" w:hAnsi="Times New Roman"/>
          <w:b/>
          <w:color w:val="000000"/>
          <w:sz w:val="20"/>
        </w:rPr>
        <w:t>GAAP and Non-GAAP Financial Measures (Unaudited)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055"/>
        <w:gridCol w:w="175"/>
        <w:gridCol w:w="292"/>
        <w:gridCol w:w="202"/>
        <w:gridCol w:w="878"/>
        <w:gridCol w:w="208"/>
        <w:gridCol w:w="183"/>
        <w:gridCol w:w="292"/>
        <w:gridCol w:w="202"/>
        <w:gridCol w:w="878"/>
        <w:gridCol w:w="199"/>
        <w:gridCol w:w="175"/>
        <w:gridCol w:w="272"/>
        <w:gridCol w:w="188"/>
        <w:gridCol w:w="958"/>
        <w:gridCol w:w="203"/>
        <w:gridCol w:w="178"/>
        <w:gridCol w:w="340"/>
        <w:gridCol w:w="182"/>
        <w:gridCol w:w="925"/>
        <w:gridCol w:w="220"/>
      </w:tblGrid>
      <w:tr>
        <w:trPr/>
        <w:tc>
          <w:tcPr>
            <w:tcW w:w="305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9985" w:type="dxa"/>
            <w:gridSpan w:val="20"/>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following table presents the reconciliation of GAAP net loss to adjusted EBITDA for the periods presented:</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5"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Thirteen Weeks Ended</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Twenty-Six Weeks Ended</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2026</w:t>
            </w:r>
          </w:p>
        </w:tc>
        <w:tc>
          <w:tcPr>
            <w:tcW w:w="20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2"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2, 2025</w:t>
            </w:r>
          </w:p>
        </w:tc>
        <w:tc>
          <w:tcPr>
            <w:tcW w:w="19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8"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2026</w:t>
            </w:r>
          </w:p>
        </w:tc>
        <w:tc>
          <w:tcPr>
            <w:tcW w:w="20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7"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2, 2025</w:t>
            </w:r>
          </w:p>
        </w:tc>
        <w:tc>
          <w:tcPr>
            <w:tcW w:w="22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(4,427</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(7,083</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(26,275</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(28,337</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6,664</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8,589</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19,782</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 (1)</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transition costs (2)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retention (3)</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accrual (4)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8,693</w:t>
            </w:r>
          </w:p>
        </w:tc>
        <w:tc>
          <w:tcPr>
            <w:tcW w:w="20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8,315</w:t>
            </w:r>
          </w:p>
        </w:tc>
        <w:tc>
          <w:tcPr>
            <w:tcW w:w="199"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20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220"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5" w:type="dxa"/>
            <w:gridSpan w:val="20"/>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Represents non-cash expenses related to equity instruments granted to employees under our equity incentive plan and employee stock purchase plan.</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5" w:type="dxa"/>
            <w:gridSpan w:val="20"/>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Represents expenses incurred relating to the departure and the recruitment of key members of our management team.</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5" w:type="dxa"/>
            <w:gridSpan w:val="20"/>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Represents an executive retention bonus implemented to maintain leadership continuity and organizational stability throughout the turnaround process.</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5" w:type="dxa"/>
            <w:gridSpan w:val="20"/>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 Represents an accrual for a legal settlement and related fees and expenses.</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4551</Words>
  <Characters>24893</Characters>
  <CharactersWithSpaces>30107</CharactersWithSpaces>
  <Paragraphs>2177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