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2" w:lineRule="exact"/>
        <w:rPr>
          <w:sz w:val="24"/>
          <w:szCs w:val="24"/>
          <w:color w:val="auto"/>
        </w:rPr>
      </w:pPr>
    </w:p>
    <w:p>
      <w:pPr>
        <w:ind w:left="4040" w:right="2340" w:hanging="4032"/>
        <w:spacing w:after="0" w:line="329" w:lineRule="auto"/>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April 29,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3940" w:right="2320" w:hanging="3932"/>
        <w:spacing w:after="0" w:line="298" w:lineRule="auto"/>
        <w:tabs>
          <w:tab w:leader="none" w:pos="70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from_______to_______</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SPORTSMAN’S WAREHOUSE HOLDINGS, INC.</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1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3"/>
              </w:rPr>
              <w:t>Delaware</w:t>
            </w:r>
          </w:p>
        </w:tc>
        <w:tc>
          <w:tcPr>
            <w:tcW w:w="2940" w:type="dxa"/>
            <w:vAlign w:val="bottom"/>
          </w:tcPr>
          <w:p>
            <w:pPr>
              <w:jc w:val="right"/>
              <w:ind w:right="159"/>
              <w:spacing w:after="0"/>
              <w:rPr>
                <w:sz w:val="20"/>
                <w:szCs w:val="20"/>
                <w:color w:val="auto"/>
              </w:rPr>
            </w:pPr>
            <w:r>
              <w:rPr>
                <w:rFonts w:ascii="Arial" w:cs="Arial" w:eastAsia="Arial" w:hAnsi="Arial"/>
                <w:sz w:val="16"/>
                <w:szCs w:val="16"/>
                <w:b w:val="1"/>
                <w:bCs w:val="1"/>
                <w:color w:val="auto"/>
              </w:rPr>
              <w:t>39-1975614</w:t>
            </w:r>
          </w:p>
        </w:tc>
      </w:tr>
      <w:tr>
        <w:trPr>
          <w:trHeight w:val="222"/>
        </w:trPr>
        <w:tc>
          <w:tcPr>
            <w:tcW w:w="51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2"/>
              </w:rPr>
              <w:t>(State or other jurisdiction</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1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2"/>
              </w:rPr>
              <w:t>of incorporation or organization)</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3"/>
              </w:rPr>
              <w:t>Identification No.)</w:t>
            </w:r>
          </w:p>
        </w:tc>
      </w:tr>
      <w:tr>
        <w:trPr>
          <w:trHeight w:val="324"/>
        </w:trPr>
        <w:tc>
          <w:tcPr>
            <w:tcW w:w="5160" w:type="dxa"/>
            <w:vAlign w:val="bottom"/>
          </w:tcPr>
          <w:p>
            <w:pPr>
              <w:jc w:val="center"/>
              <w:ind w:right="1619"/>
              <w:spacing w:after="0"/>
              <w:rPr>
                <w:sz w:val="20"/>
                <w:szCs w:val="20"/>
                <w:color w:val="auto"/>
              </w:rPr>
            </w:pPr>
            <w:r>
              <w:rPr>
                <w:rFonts w:ascii="Arial" w:cs="Arial" w:eastAsia="Arial" w:hAnsi="Arial"/>
                <w:sz w:val="16"/>
                <w:szCs w:val="16"/>
                <w:b w:val="1"/>
                <w:bCs w:val="1"/>
                <w:color w:val="auto"/>
                <w:w w:val="90"/>
              </w:rPr>
              <w:t>1475 West 9000 South, Suite A, West Jordan, Utah</w:t>
            </w:r>
          </w:p>
        </w:tc>
        <w:tc>
          <w:tcPr>
            <w:tcW w:w="2940" w:type="dxa"/>
            <w:vAlign w:val="bottom"/>
          </w:tcPr>
          <w:p>
            <w:pPr>
              <w:jc w:val="right"/>
              <w:ind w:right="339"/>
              <w:spacing w:after="0"/>
              <w:rPr>
                <w:sz w:val="20"/>
                <w:szCs w:val="20"/>
                <w:color w:val="auto"/>
              </w:rPr>
            </w:pPr>
            <w:r>
              <w:rPr>
                <w:rFonts w:ascii="Arial" w:cs="Arial" w:eastAsia="Arial" w:hAnsi="Arial"/>
                <w:sz w:val="16"/>
                <w:szCs w:val="16"/>
                <w:b w:val="1"/>
                <w:bCs w:val="1"/>
                <w:color w:val="auto"/>
              </w:rPr>
              <w:t>84088</w:t>
            </w:r>
          </w:p>
        </w:tc>
      </w:tr>
      <w:tr>
        <w:trPr>
          <w:trHeight w:val="230"/>
        </w:trPr>
        <w:tc>
          <w:tcPr>
            <w:tcW w:w="5160" w:type="dxa"/>
            <w:vAlign w:val="bottom"/>
          </w:tcPr>
          <w:p>
            <w:pPr>
              <w:jc w:val="center"/>
              <w:ind w:right="163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1"/>
              </w:rPr>
              <w:t>(Zip code)</w:t>
            </w:r>
          </w:p>
        </w:tc>
      </w:tr>
    </w:tbl>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0"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Common stock, $.01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SPWH</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93" w:lineRule="exact"/>
        <w:rPr>
          <w:sz w:val="24"/>
          <w:szCs w:val="24"/>
          <w:color w:val="auto"/>
        </w:rPr>
      </w:pPr>
    </w:p>
    <w:p>
      <w:pPr>
        <w:ind w:right="40"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3" w:lineRule="exact"/>
        <w:rPr>
          <w:sz w:val="24"/>
          <w:szCs w:val="24"/>
          <w:color w:val="auto"/>
        </w:rPr>
      </w:pPr>
    </w:p>
    <w:p>
      <w:pPr>
        <w:jc w:val="both"/>
        <w:ind w:right="28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3" w:lineRule="exact"/>
        <w:rPr>
          <w:sz w:val="24"/>
          <w:szCs w:val="24"/>
          <w:color w:val="auto"/>
        </w:rPr>
      </w:pPr>
    </w:p>
    <w:p>
      <w:pPr>
        <w:ind w:left="520" w:right="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spacing w:after="0" w:line="184" w:lineRule="exact"/>
        <w:tabs>
          <w:tab w:leader="none" w:pos="8000" w:val="left"/>
          <w:tab w:leader="none" w:pos="86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number of shares of the registrant's common stock, $0.01 par value per share, outstanding as of May 31, 2023 was 37,688,103.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183"/>
        </w:trPr>
        <w:tc>
          <w:tcPr>
            <w:tcW w:w="10180" w:type="dxa"/>
            <w:vAlign w:val="bottom"/>
            <w:gridSpan w:val="21"/>
          </w:tcPr>
          <w:p>
            <w:pPr>
              <w:spacing w:after="0" w:line="182" w:lineRule="exact"/>
              <w:rPr>
                <w:sz w:val="20"/>
                <w:szCs w:val="20"/>
                <w:color w:val="auto"/>
              </w:rPr>
            </w:pPr>
            <w:r>
              <w:rPr>
                <w:rFonts w:ascii="Arial" w:cs="Arial" w:eastAsia="Arial" w:hAnsi="Arial"/>
                <w:sz w:val="18"/>
                <w:szCs w:val="18"/>
                <w:b w:val="1"/>
                <w:bCs w:val="1"/>
                <w:color w:val="0000FF"/>
              </w:rPr>
              <w:t>PART I. FINANCIAL INFORMATION</w:t>
            </w:r>
          </w:p>
        </w:tc>
        <w:tc>
          <w:tcPr>
            <w:tcW w:w="10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79"/>
        </w:trPr>
        <w:tc>
          <w:tcPr>
            <w:tcW w:w="9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3"/>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2.</w:t>
            </w:r>
          </w:p>
        </w:tc>
        <w:tc>
          <w:tcPr>
            <w:tcW w:w="420" w:type="dxa"/>
            <w:vAlign w:val="bottom"/>
            <w:gridSpan w:val="2"/>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3.</w:t>
            </w:r>
          </w:p>
        </w:tc>
        <w:tc>
          <w:tcPr>
            <w:tcW w:w="420" w:type="dxa"/>
            <w:vAlign w:val="bottom"/>
            <w:gridSpan w:val="2"/>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00" w:type="dxa"/>
            <w:vAlign w:val="bottom"/>
            <w:tcBorders>
              <w:left w:val="single" w:sz="8" w:color="0000FF"/>
            </w:tcBorders>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4.</w:t>
            </w:r>
          </w:p>
        </w:tc>
        <w:tc>
          <w:tcPr>
            <w:tcW w:w="420" w:type="dxa"/>
            <w:vAlign w:val="bottom"/>
            <w:gridSpan w:val="2"/>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10180" w:type="dxa"/>
            <w:vAlign w:val="bottom"/>
            <w:gridSpan w:val="21"/>
          </w:tcPr>
          <w:p>
            <w:pPr>
              <w:spacing w:after="0"/>
              <w:rPr>
                <w:sz w:val="20"/>
                <w:szCs w:val="20"/>
                <w:color w:val="auto"/>
              </w:rPr>
            </w:pPr>
            <w:r>
              <w:rPr>
                <w:rFonts w:ascii="Arial" w:cs="Arial" w:eastAsia="Arial" w:hAnsi="Arial"/>
                <w:sz w:val="18"/>
                <w:szCs w:val="18"/>
                <w:b w:val="1"/>
                <w:bCs w:val="1"/>
                <w:color w:val="0000FF"/>
              </w:rPr>
              <w:t>PART II. OTHER INFORMATION</w:t>
            </w:r>
          </w:p>
        </w:tc>
        <w:tc>
          <w:tcPr>
            <w:tcW w:w="104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1.</w:t>
            </w:r>
          </w:p>
        </w:tc>
        <w:tc>
          <w:tcPr>
            <w:tcW w:w="420" w:type="dxa"/>
            <w:vAlign w:val="bottom"/>
            <w:gridSpan w:val="2"/>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9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6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9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9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94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24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4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9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operate on a fiscal calendar that, in a given fiscal year, consists of the 52- or 53-week period ending on the Saturday closest to January 31st. Our first fiscal quarters ended April 29, 2023 and April 30, 2022 both consisted of 13 weeks and are referred to herein as the first quarter of fiscal year 2023 and the first quarter of fiscal year 2022, respectively. Fiscal year 2023 contains 53 weeks of operations and will end on February 3, 2024. Fiscal year 2022 contained 52 weeks of operations and ended on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2022” refer to our fiscal year ended January 28, 2023; (ii) “fiscal year 2021” refer to our fiscal year ended January 29, 2022; and (iii) “fiscal year 2020” refer to our fiscal year ended January 30,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SPECIAL NOTE REGARDING FORWARD-LOOKING STATEMENTS</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of our forward-looking statements are subject to risks and uncertainties that may cause our actual results to differ materially from our expectations.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factors that could cause actual results to differ materially from our expectations include, but are not limited to:</w:t>
      </w:r>
    </w:p>
    <w:p>
      <w:pPr>
        <w:spacing w:after="0" w:line="224" w:lineRule="exact"/>
        <w:rPr>
          <w:sz w:val="20"/>
          <w:szCs w:val="20"/>
          <w:color w:val="auto"/>
        </w:rPr>
      </w:pPr>
    </w:p>
    <w:p>
      <w:pPr>
        <w:ind w:left="900" w:right="2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62" w:lineRule="exact"/>
        <w:rPr>
          <w:rFonts w:ascii="Arial" w:cs="Arial" w:eastAsia="Arial" w:hAnsi="Arial"/>
          <w:sz w:val="18"/>
          <w:szCs w:val="18"/>
          <w:color w:val="auto"/>
        </w:rPr>
      </w:pPr>
    </w:p>
    <w:p>
      <w:pPr>
        <w:ind w:left="900" w:right="8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highly fragmented and competitive industry in which we operate and the potential for increased competition;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consumer demands, including regional preferences, which we may not be able to identify and respond to in a timely manner;</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entrance into new markets or operations in existing markets, which may not be successful;</w:t>
      </w:r>
    </w:p>
    <w:p>
      <w:pPr>
        <w:spacing w:after="0" w:line="117"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development of a plan to reduce expenses in response to adverse macroeconomic conditions, including an increased focus on financial discipline and rigor throughout our organization; and</w:t>
      </w:r>
    </w:p>
    <w:p>
      <w:pPr>
        <w:spacing w:after="0" w:line="62"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general macroeconomic conditions, such as labor shortages, inflation, rising interest rates and tightening credit markets on our operations.</w:t>
      </w:r>
    </w:p>
    <w:p>
      <w:pPr>
        <w:spacing w:after="0" w:line="76"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January 28, 2023 (our “Fiscal 2022 Form 10-K”) and “Part I., Item 2., Management’s Discussion and Analysis of Financial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SPORTSMAN’S WAREHOUSE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411"/>
              <w:spacing w:after="0"/>
              <w:rPr>
                <w:sz w:val="20"/>
                <w:szCs w:val="20"/>
                <w:color w:val="auto"/>
              </w:rPr>
            </w:pPr>
            <w:r>
              <w:rPr>
                <w:rFonts w:ascii="Arial" w:cs="Arial" w:eastAsia="Arial" w:hAnsi="Arial"/>
                <w:sz w:val="14"/>
                <w:szCs w:val="14"/>
                <w:b w:val="1"/>
                <w:bCs w:val="1"/>
                <w:color w:val="auto"/>
              </w:rPr>
              <w:t>April 29,</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5"/>
                <w:szCs w:val="15"/>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6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Merchandise inventories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469,489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399,128</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21,501</w:t>
            </w:r>
          </w:p>
        </w:tc>
        <w:tc>
          <w:tcPr>
            <w:tcW w:w="3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499,945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425,896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302,912</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268,593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176,970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162,586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Definite lived intangibles, net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981,697</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858,960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6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112,659</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61,948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99,976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 current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46,631</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Revolving line of credit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150,250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87,503</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399,980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295,824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8,494</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296,640</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260,479</w:t>
            </w:r>
          </w:p>
        </w:tc>
        <w:tc>
          <w:tcPr>
            <w:tcW w:w="140" w:type="dxa"/>
            <w:vAlign w:val="bottom"/>
          </w:tcPr>
          <w:p>
            <w:pPr>
              <w:spacing w:after="0"/>
              <w:rPr>
                <w:sz w:val="20"/>
                <w:szCs w:val="20"/>
                <w:color w:val="auto"/>
              </w:rPr>
            </w:pPr>
          </w:p>
        </w:tc>
      </w:tr>
      <w:tr>
        <w:trPr>
          <w:trHeight w:val="236"/>
        </w:trPr>
        <w:tc>
          <w:tcPr>
            <w:tcW w:w="7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305,134</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270,023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705,114</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565,847</w:t>
            </w:r>
          </w:p>
        </w:tc>
        <w:tc>
          <w:tcPr>
            <w:tcW w:w="140" w:type="dxa"/>
            <w:vAlign w:val="bottom"/>
          </w:tcPr>
          <w:p>
            <w:pPr>
              <w:spacing w:after="0"/>
              <w:rPr>
                <w:sz w:val="20"/>
                <w:szCs w:val="20"/>
                <w:color w:val="auto"/>
              </w:rPr>
            </w:pPr>
          </w:p>
        </w:tc>
      </w:tr>
      <w:tr>
        <w:trPr>
          <w:trHeight w:val="243"/>
        </w:trPr>
        <w:tc>
          <w:tcPr>
            <w:tcW w:w="7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Preferred stock, $.01 par value; 20,000 shares authorized; 0 shares issued and outstanding</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380"/>
              <w:spacing w:after="0"/>
              <w:rPr>
                <w:sz w:val="20"/>
                <w:szCs w:val="20"/>
                <w:color w:val="auto"/>
              </w:rPr>
            </w:pPr>
            <w:r>
              <w:rPr>
                <w:rFonts w:ascii="Arial" w:cs="Arial" w:eastAsia="Arial" w:hAnsi="Arial"/>
                <w:sz w:val="18"/>
                <w:szCs w:val="18"/>
                <w:color w:val="auto"/>
                <w:w w:val="92"/>
              </w:rPr>
              <w:t>Common stock, $.01 par value; 100,000 shares authorized; 37,686 and 37,541 shares issued and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outstanding, respectively</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79,340</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79,743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Accumulated earnings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196,866</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212,995</w:t>
            </w:r>
          </w:p>
        </w:tc>
        <w:tc>
          <w:tcPr>
            <w:tcW w:w="140" w:type="dxa"/>
            <w:vAlign w:val="bottom"/>
          </w:tcPr>
          <w:p>
            <w:pPr>
              <w:spacing w:after="0"/>
              <w:rPr>
                <w:sz w:val="20"/>
                <w:szCs w:val="20"/>
                <w:color w:val="auto"/>
              </w:rPr>
            </w:pPr>
          </w:p>
        </w:tc>
      </w:tr>
      <w:tr>
        <w:trPr>
          <w:trHeight w:val="236"/>
        </w:trPr>
        <w:tc>
          <w:tcPr>
            <w:tcW w:w="76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276,583</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293,113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981,697</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858,960</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-4731385</wp:posOffset>
            </wp:positionV>
            <wp:extent cx="8572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-4731385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-3788410</wp:posOffset>
            </wp:positionV>
            <wp:extent cx="130302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020" cy="3346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-1739900</wp:posOffset>
            </wp:positionV>
            <wp:extent cx="8572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-1739900</wp:posOffset>
            </wp:positionV>
            <wp:extent cx="8572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left="340" w:right="2760"/>
        <w:spacing w:after="0" w:line="261" w:lineRule="auto"/>
        <w:rPr>
          <w:sz w:val="20"/>
          <w:szCs w:val="20"/>
          <w:color w:val="auto"/>
        </w:rPr>
      </w:pPr>
      <w:r>
        <w:rPr>
          <w:rFonts w:ascii="Arial" w:cs="Arial" w:eastAsia="Arial" w:hAnsi="Arial"/>
          <w:sz w:val="18"/>
          <w:szCs w:val="18"/>
          <w:b w:val="1"/>
          <w:bCs w:val="1"/>
          <w:color w:val="auto"/>
        </w:rPr>
        <w:t>SPORTSMAN'S WAREHOUSE HOLDINGS, INC. AND SUBSIDIARIES CONDENSED CONSOLIDATED STATEMENTS OF OPERATIONS Amounts in Thousands, Except Per Share Data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952"/>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r>
      <w:tr>
        <w:trPr>
          <w:trHeight w:val="160"/>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ind w:left="200"/>
              <w:spacing w:after="0" w:line="160" w:lineRule="exact"/>
              <w:rPr>
                <w:sz w:val="20"/>
                <w:szCs w:val="20"/>
                <w:color w:val="auto"/>
              </w:rPr>
            </w:pPr>
            <w:r>
              <w:rPr>
                <w:rFonts w:ascii="Arial" w:cs="Arial" w:eastAsia="Arial" w:hAnsi="Arial"/>
                <w:sz w:val="14"/>
                <w:szCs w:val="14"/>
                <w:b w:val="1"/>
                <w:bCs w:val="1"/>
                <w:color w:val="auto"/>
              </w:rPr>
              <w:t>April 29,</w:t>
            </w:r>
          </w:p>
        </w:tc>
        <w:tc>
          <w:tcPr>
            <w:tcW w:w="320" w:type="dxa"/>
            <w:vAlign w:val="bottom"/>
          </w:tcPr>
          <w:p>
            <w:pPr>
              <w:spacing w:after="0"/>
              <w:rPr>
                <w:sz w:val="13"/>
                <w:szCs w:val="13"/>
                <w:color w:val="auto"/>
              </w:rPr>
            </w:pPr>
          </w:p>
        </w:tc>
        <w:tc>
          <w:tcPr>
            <w:tcW w:w="1260" w:type="dxa"/>
            <w:vAlign w:val="bottom"/>
          </w:tcPr>
          <w:p>
            <w:pPr>
              <w:jc w:val="right"/>
              <w:ind w:right="432"/>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309,505</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187,485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210,414</w:t>
            </w:r>
          </w:p>
        </w:tc>
        <w:tc>
          <w:tcPr>
            <w:tcW w:w="140" w:type="dxa"/>
            <w:vAlign w:val="bottom"/>
          </w:tcPr>
          <w:p>
            <w:pPr>
              <w:spacing w:after="0"/>
              <w:rPr>
                <w:sz w:val="20"/>
                <w:szCs w:val="20"/>
                <w:color w:val="auto"/>
              </w:rPr>
            </w:pPr>
          </w:p>
        </w:tc>
      </w:tr>
      <w:tr>
        <w:trPr>
          <w:trHeight w:val="23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99,091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479"/>
        </w:trPr>
        <w:tc>
          <w:tcPr>
            <w:tcW w:w="76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99,003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96,085</w:t>
            </w:r>
          </w:p>
        </w:tc>
        <w:tc>
          <w:tcPr>
            <w:tcW w:w="140" w:type="dxa"/>
            <w:vAlign w:val="bottom"/>
          </w:tcPr>
          <w:p>
            <w:pPr>
              <w:spacing w:after="0"/>
              <w:rPr>
                <w:sz w:val="24"/>
                <w:szCs w:val="24"/>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before income taxes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(5,367 )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(Loss) earnings per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(0.42 )</w:t>
            </w: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22"/>
                <w:szCs w:val="22"/>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(0.42 )</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44,221</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-2167890</wp:posOffset>
            </wp:positionV>
            <wp:extent cx="8572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-2167890</wp:posOffset>
            </wp:positionV>
            <wp:extent cx="8572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13030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-719455</wp:posOffset>
            </wp:positionV>
            <wp:extent cx="13030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020" cy="2057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For the Thirteen Weeks Ended April 29, 2023 and April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center"/>
              <w:ind w:right="240"/>
              <w:spacing w:after="0" w:line="160" w:lineRule="exact"/>
              <w:rPr>
                <w:sz w:val="20"/>
                <w:szCs w:val="20"/>
                <w:color w:val="auto"/>
              </w:rPr>
            </w:pPr>
            <w:r>
              <w:rPr>
                <w:rFonts w:ascii="Arial" w:cs="Arial" w:eastAsia="Arial" w:hAnsi="Arial"/>
                <w:sz w:val="14"/>
                <w:szCs w:val="14"/>
                <w:b w:val="1"/>
                <w:bCs w:val="1"/>
                <w:color w:val="auto"/>
                <w:w w:val="98"/>
              </w:rPr>
              <w:t>Addition</w:t>
            </w:r>
          </w:p>
        </w:tc>
        <w:tc>
          <w:tcPr>
            <w:tcW w:w="900" w:type="dxa"/>
            <w:vAlign w:val="bottom"/>
            <w:tcBorders>
              <w:top w:val="single" w:sz="8" w:color="auto"/>
            </w:tcBorders>
            <w:gridSpan w:val="3"/>
          </w:tcPr>
          <w:p>
            <w:pPr>
              <w:jc w:val="center"/>
              <w:ind w:right="260"/>
              <w:spacing w:after="0" w:line="160" w:lineRule="exact"/>
              <w:rPr>
                <w:sz w:val="20"/>
                <w:szCs w:val="20"/>
                <w:color w:val="auto"/>
              </w:rPr>
            </w:pPr>
            <w:r>
              <w:rPr>
                <w:rFonts w:ascii="Arial" w:cs="Arial" w:eastAsia="Arial" w:hAnsi="Arial"/>
                <w:sz w:val="14"/>
                <w:szCs w:val="14"/>
                <w:b w:val="1"/>
                <w:bCs w:val="1"/>
                <w:color w:val="auto"/>
                <w:w w:val="94"/>
              </w:rPr>
              <w:t>Accumul</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al</w:t>
            </w:r>
          </w:p>
        </w:tc>
        <w:tc>
          <w:tcPr>
            <w:tcW w:w="140" w:type="dxa"/>
            <w:vAlign w:val="bottom"/>
          </w:tcPr>
          <w:p>
            <w:pPr>
              <w:spacing w:after="0"/>
              <w:rPr>
                <w:sz w:val="15"/>
                <w:szCs w:val="15"/>
                <w:color w:val="auto"/>
              </w:rPr>
            </w:pPr>
          </w:p>
        </w:tc>
        <w:tc>
          <w:tcPr>
            <w:tcW w:w="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ated</w:t>
            </w: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Restricted nonvoting</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(deficit)</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ers'</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capital</w:t>
            </w: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earnings</w:t>
            </w:r>
          </w:p>
        </w:tc>
        <w:tc>
          <w:tcPr>
            <w:tcW w:w="120" w:type="dxa"/>
            <w:vAlign w:val="bottom"/>
          </w:tcPr>
          <w:p>
            <w:pPr>
              <w:spacing w:after="0"/>
              <w:rPr>
                <w:sz w:val="16"/>
                <w:szCs w:val="16"/>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314,16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43,880</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withholdings on restricted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 units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(1,845 )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(1,845 )</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April 30, 2022</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90,36</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315,68</w:t>
            </w: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44,121</w:t>
            </w:r>
          </w:p>
        </w:tc>
        <w:tc>
          <w:tcPr>
            <w:tcW w:w="24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441</w:t>
            </w:r>
          </w:p>
        </w:tc>
        <w:tc>
          <w:tcPr>
            <w:tcW w:w="26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293,11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375</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200"/>
              <w:spacing w:after="0"/>
              <w:rPr>
                <w:sz w:val="20"/>
                <w:szCs w:val="20"/>
                <w:color w:val="auto"/>
              </w:rPr>
            </w:pPr>
            <w:r>
              <w:rPr>
                <w:rFonts w:ascii="Arial" w:cs="Arial" w:eastAsia="Arial" w:hAnsi="Arial"/>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(696 )</w:t>
            </w:r>
          </w:p>
        </w:tc>
        <w:tc>
          <w:tcPr>
            <w:tcW w:w="1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(598 )</w:t>
            </w:r>
          </w:p>
        </w:tc>
        <w:tc>
          <w:tcPr>
            <w:tcW w:w="0" w:type="dxa"/>
            <w:vAlign w:val="bottom"/>
          </w:tcPr>
          <w:p>
            <w:pPr>
              <w:spacing w:after="0"/>
              <w:rPr>
                <w:sz w:val="1"/>
                <w:szCs w:val="1"/>
                <w:color w:val="auto"/>
              </w:rPr>
            </w:pPr>
          </w:p>
        </w:tc>
      </w:tr>
      <w:tr>
        <w:trPr>
          <w:trHeight w:val="249"/>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Retirement of treasury stock</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(98 )</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(490 )</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withholdings 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3"/>
              </w:rPr>
              <w:t>(1,445 )</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(1,445 )</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(15,63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5"/>
        </w:trPr>
        <w:tc>
          <w:tcPr>
            <w:tcW w:w="3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April 29, 2023</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79,34</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276,58</w:t>
            </w: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37,686</w:t>
            </w:r>
          </w:p>
        </w:tc>
        <w:tc>
          <w:tcPr>
            <w:tcW w:w="24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377</w:t>
            </w:r>
          </w:p>
        </w:tc>
        <w:tc>
          <w:tcPr>
            <w:tcW w:w="26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-3110865</wp:posOffset>
            </wp:positionV>
            <wp:extent cx="460375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03750" cy="17970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-2331085</wp:posOffset>
            </wp:positionV>
            <wp:extent cx="76835" cy="488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48831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-2331085</wp:posOffset>
            </wp:positionV>
            <wp:extent cx="76835" cy="488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48831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-2331085</wp:posOffset>
            </wp:positionV>
            <wp:extent cx="76835" cy="488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4883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-2331085</wp:posOffset>
            </wp:positionV>
            <wp:extent cx="85725" cy="488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4883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-2331085</wp:posOffset>
            </wp:positionV>
            <wp:extent cx="85725" cy="488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4883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-2331085</wp:posOffset>
            </wp:positionV>
            <wp:extent cx="77470" cy="488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4883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-2331085</wp:posOffset>
            </wp:positionV>
            <wp:extent cx="85725" cy="488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4883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-2331085</wp:posOffset>
            </wp:positionV>
            <wp:extent cx="77470" cy="488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4883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-2331085</wp:posOffset>
            </wp:positionV>
            <wp:extent cx="85725" cy="488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4883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-1551305</wp:posOffset>
            </wp:positionV>
            <wp:extent cx="460375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03750" cy="18034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-325120</wp:posOffset>
            </wp:positionV>
            <wp:extent cx="76835" cy="325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-325120</wp:posOffset>
            </wp:positionV>
            <wp:extent cx="7683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-325120</wp:posOffset>
            </wp:positionV>
            <wp:extent cx="76835"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-325120</wp:posOffset>
            </wp:positionV>
            <wp:extent cx="85725"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-325120</wp:posOffset>
            </wp:positionV>
            <wp:extent cx="8572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-325120</wp:posOffset>
            </wp:positionV>
            <wp:extent cx="7747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-325120</wp:posOffset>
            </wp:positionV>
            <wp:extent cx="8572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-325120</wp:posOffset>
            </wp:positionV>
            <wp:extent cx="7747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-325120</wp:posOffset>
            </wp:positionV>
            <wp:extent cx="8572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gridSpan w:val="6"/>
          </w:tcPr>
          <w:p>
            <w:pPr>
              <w:jc w:val="right"/>
              <w:ind w:right="1090"/>
              <w:spacing w:after="0"/>
              <w:rPr>
                <w:sz w:val="20"/>
                <w:szCs w:val="20"/>
                <w:color w:val="auto"/>
              </w:rPr>
            </w:pPr>
            <w:r>
              <w:rPr>
                <w:rFonts w:ascii="Arial" w:cs="Arial" w:eastAsia="Arial" w:hAnsi="Arial"/>
                <w:sz w:val="14"/>
                <w:szCs w:val="14"/>
                <w:b w:val="1"/>
                <w:bCs w:val="1"/>
                <w:color w:val="auto"/>
              </w:rPr>
              <w:t>Thirteen Weeks Ended</w:t>
            </w:r>
          </w:p>
        </w:tc>
      </w:tr>
      <w:tr>
        <w:trPr>
          <w:trHeight w:val="160"/>
        </w:trPr>
        <w:tc>
          <w:tcPr>
            <w:tcW w:w="76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3"/>
          </w:tcPr>
          <w:p>
            <w:pPr>
              <w:ind w:left="200"/>
              <w:spacing w:after="0" w:line="160" w:lineRule="exact"/>
              <w:rPr>
                <w:sz w:val="20"/>
                <w:szCs w:val="20"/>
                <w:color w:val="auto"/>
              </w:rPr>
            </w:pPr>
            <w:r>
              <w:rPr>
                <w:rFonts w:ascii="Arial" w:cs="Arial" w:eastAsia="Arial" w:hAnsi="Arial"/>
                <w:sz w:val="14"/>
                <w:szCs w:val="14"/>
                <w:b w:val="1"/>
                <w:bCs w:val="1"/>
                <w:color w:val="auto"/>
              </w:rPr>
              <w:t>April 29,</w:t>
            </w: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31"/>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(15,639 )</w:t>
            </w: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Depreciation of property and equipment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Amortization of definite lived intangible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(266 )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Change in operating assets and liabilities, net of amounts acquired:</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(540 )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(9,191 )</w:t>
            </w: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Merchandise inventories</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(70,361 )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(49,878 )</w:t>
            </w: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(9,176 )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(15,402 )</w:t>
            </w:r>
          </w:p>
        </w:tc>
      </w:tr>
      <w:tr>
        <w:trPr>
          <w:trHeight w:val="243"/>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Income taxes payable and receivable</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(4,432 )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21"/>
                <w:szCs w:val="2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60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(36,985 )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(16,843 )</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 of property and equipment, net of amounts acquired</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(22,757 )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(12,001 )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borrowings on line of credit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62,747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Decrease in book overdraft</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(1,075 )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to acquire treasury stock</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(696 )</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Payment of withholdings on restricted stock units</w:t>
            </w: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(1,445 )</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(1,845 )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60,393</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20"/>
                <w:szCs w:val="20"/>
                <w:color w:val="auto"/>
              </w:rPr>
            </w:pPr>
          </w:p>
        </w:tc>
      </w:tr>
      <w:tr>
        <w:trPr>
          <w:trHeight w:val="23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57,705</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FF0FC"/>
          </w:tcPr>
          <w:p>
            <w:pPr>
              <w:spacing w:after="0"/>
              <w:rPr>
                <w:sz w:val="21"/>
                <w:szCs w:val="2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r>
      <w:tr>
        <w:trPr>
          <w:trHeight w:val="256"/>
        </w:trPr>
        <w:tc>
          <w:tcPr>
            <w:tcW w:w="7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schedule of noncash activities: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Noncash change in operating lease right of use asset and operating lease liabilities from</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remeasurement of existing leases and addition of new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37,888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6,378</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4,785</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-3625215</wp:posOffset>
            </wp:positionV>
            <wp:extent cx="8572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-3625215</wp:posOffset>
            </wp:positionV>
            <wp:extent cx="8572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-2982595</wp:posOffset>
            </wp:positionV>
            <wp:extent cx="8572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-2982595</wp:posOffset>
            </wp:positionV>
            <wp:extent cx="8572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-2039620</wp:posOffset>
            </wp:positionV>
            <wp:extent cx="857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-2039620</wp:posOffset>
            </wp:positionV>
            <wp:extent cx="8572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-1713865</wp:posOffset>
            </wp:positionV>
            <wp:extent cx="8572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-1713865</wp:posOffset>
            </wp:positionV>
            <wp:extent cx="8572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34290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amounts (Unaudited)</w:t>
      </w:r>
    </w:p>
    <w:p>
      <w:pPr>
        <w:spacing w:after="0" w:line="315" w:lineRule="exact"/>
        <w:rPr>
          <w:sz w:val="20"/>
          <w:szCs w:val="20"/>
          <w:color w:val="auto"/>
        </w:rPr>
      </w:pPr>
    </w:p>
    <w:p>
      <w:pPr>
        <w:ind w:right="7180" w:firstLine="8"/>
        <w:spacing w:after="0" w:line="378" w:lineRule="auto"/>
        <w:tabs>
          <w:tab w:leader="none" w:pos="2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Description of Business</w:t>
      </w:r>
    </w:p>
    <w:p>
      <w:pPr>
        <w:ind w:right="360"/>
        <w:spacing w:after="0" w:line="286" w:lineRule="auto"/>
        <w:rPr>
          <w:sz w:val="20"/>
          <w:szCs w:val="20"/>
          <w:color w:val="auto"/>
        </w:rPr>
      </w:pPr>
      <w:r>
        <w:rPr>
          <w:rFonts w:ascii="Arial" w:cs="Arial" w:eastAsia="Arial" w:hAnsi="Arial"/>
          <w:sz w:val="17"/>
          <w:szCs w:val="17"/>
          <w:color w:val="auto"/>
        </w:rPr>
        <w:t>Sportsman’s Warehouse Holdings, Inc., a Delaware corporation (“Holdings”), and its subsidiaries (collectively, the “Company”) operate retail sporting goods stores. As of April 29, 2023, the Company operated 136 stores in 31 states. The Company also operates an e-commerce platform at www.sportsmans.com. The Company’s stores and website are aggregated into one operating and reportable segment.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28, 2023 was derived from the Company’s audited consolidated balance sheet as of that date. All other condensed consolidated financial statements contained herein are unaudited and reflect all adjustments that are, in the opinion of management, necessary to summarize fairly our condensed consolidated financial statements for the periods presented. All of these adjustments are of a normal recurring nature. The results of the fiscal quarter ended April 29, 2023 are not necessarily indicative of the results to be obtained for the year ending February 3, 2024. These condensed consolidated financial statements should be read in conjunction with the Company’s audited consolidated financial statements and notes thereto included in the Company’s Annual Report on Form 10-K for the fiscal year ended January 28, 2023 filed with the SEC on April 13, 2023 (the “Fiscal 2022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Company’s significant accounting policies are described in Note 2 to the Company’s Fiscal 2022 Form 10-K. Except for the changes below, the Company has consistently applied the accounting policies to all periods presented in these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accounting policy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credit for immaterial purchases to certain municipalities.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store sales</w:t>
      </w:r>
    </w:p>
    <w:p>
      <w:pPr>
        <w:spacing w:after="0" w:line="117" w:lineRule="exact"/>
        <w:rPr>
          <w:rFonts w:ascii="Arial" w:cs="Arial" w:eastAsia="Arial" w:hAnsi="Arial"/>
          <w:sz w:val="18"/>
          <w:szCs w:val="18"/>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E-commerce sales</w:t>
      </w:r>
    </w:p>
    <w:p>
      <w:pPr>
        <w:spacing w:after="0" w:line="117" w:lineRule="exact"/>
        <w:rPr>
          <w:rFonts w:ascii="Arial" w:cs="Arial" w:eastAsia="Arial" w:hAnsi="Arial"/>
          <w:sz w:val="18"/>
          <w:szCs w:val="18"/>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Gift cards and loyalty rewards program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7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66"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 Based upon historical experience, gift cards are predominantly redeemed in the first two years following their issuance date. The Company does not sell or provide gift cards that carry expiration dates.</w:t>
      </w:r>
    </w:p>
    <w:p>
      <w:pPr>
        <w:spacing w:after="0" w:line="17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Accounting Standards Codification (“ASC”) 606 requires the Company to allocate the transaction price between the goods and the loyalty reward points based on the relative standalone selling price. The Company recognized revenue for the breakage of loyalty reward points as revenue in proportion to the pattern of customer redemption of the points by applying an estimated breakage rate of 35% using historical rates and future expectations.</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The costs associated with fulfillment are recorded in costs of goods sold.</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right of return assets, contract liabilities, and sales return liabilities with customers as of April 29,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28,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April 29, 2023</w:t>
            </w:r>
          </w:p>
        </w:tc>
        <w:tc>
          <w:tcPr>
            <w:tcW w:w="200" w:type="dxa"/>
            <w:vAlign w:val="bottom"/>
          </w:tcPr>
          <w:p>
            <w:pPr>
              <w:spacing w:after="0"/>
              <w:rPr>
                <w:sz w:val="16"/>
                <w:szCs w:val="16"/>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January 28, 2023</w:t>
            </w: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return assets, which are included in prepaid expenses and other</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Estimated gift card contract liability, net of breakage</w:t>
            </w:r>
          </w:p>
        </w:tc>
        <w:tc>
          <w:tcPr>
            <w:tcW w:w="24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(28,180 )</w:t>
            </w:r>
          </w:p>
        </w:tc>
        <w:tc>
          <w:tcPr>
            <w:tcW w:w="2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(29,174 )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loyalty contract liability, net of breakage</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(4,861 )</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(5,383 )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Sales return liabilities, which are included in accrued expenses</w:t>
            </w:r>
          </w:p>
        </w:tc>
        <w:tc>
          <w:tcPr>
            <w:tcW w:w="24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(2,915 )</w:t>
            </w:r>
          </w:p>
        </w:tc>
        <w:tc>
          <w:tcPr>
            <w:tcW w:w="2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(2,912 )</w:t>
            </w:r>
          </w:p>
        </w:tc>
      </w:tr>
    </w:tbl>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13 weeks ended April 29, 2023, the Company recognized approximately $440 in gift card breakage and approximately $938 in loyalty reward breakage. During the 13 weeks ended April 30, 2022, the Company recognized approximately $434 in gift card breakage and approximately $604 in loyalty reward breakage. During the 13 weeks ended April 29, 2023, the Company recognized revenue of $10,056 relating to contract liabilities that existed at January 28, 2023.</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 from contracts with customers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following table, revenue from contracts with customers is disaggregated by department. The percentage of net sales related to the Company’s departments during the 13 weeks ended April 29, 2023 and April 30, 2022, was approximately: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Borders>
              <w:top w:val="single" w:sz="8" w:color="auto"/>
            </w:tcBorders>
            <w:gridSpan w:val="3"/>
          </w:tcPr>
          <w:p>
            <w:pPr>
              <w:jc w:val="right"/>
              <w:ind w:right="780"/>
              <w:spacing w:after="0" w:line="160" w:lineRule="exact"/>
              <w:rPr>
                <w:sz w:val="20"/>
                <w:szCs w:val="20"/>
                <w:color w:val="auto"/>
              </w:rPr>
            </w:pPr>
            <w:r>
              <w:rPr>
                <w:rFonts w:ascii="Arial" w:cs="Arial" w:eastAsia="Arial" w:hAnsi="Arial"/>
                <w:sz w:val="14"/>
                <w:szCs w:val="14"/>
                <w:b w:val="1"/>
                <w:bCs w:val="1"/>
                <w:color w:val="auto"/>
              </w:rPr>
              <w:t>April 29,</w:t>
            </w:r>
          </w:p>
        </w:tc>
        <w:tc>
          <w:tcPr>
            <w:tcW w:w="1640" w:type="dxa"/>
            <w:vAlign w:val="bottom"/>
            <w:tcBorders>
              <w:top w:val="single" w:sz="8" w:color="auto"/>
            </w:tcBorders>
          </w:tcPr>
          <w:p>
            <w:pPr>
              <w:jc w:val="right"/>
              <w:ind w:right="454"/>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Department</w:t>
            </w:r>
          </w:p>
        </w:tc>
        <w:tc>
          <w:tcPr>
            <w:tcW w:w="200" w:type="dxa"/>
            <w:vAlign w:val="bottom"/>
          </w:tcPr>
          <w:p>
            <w:pPr>
              <w:spacing w:after="0"/>
              <w:rPr>
                <w:sz w:val="16"/>
                <w:szCs w:val="16"/>
                <w:color w:val="auto"/>
              </w:rPr>
            </w:pPr>
          </w:p>
        </w:tc>
        <w:tc>
          <w:tcPr>
            <w:tcW w:w="53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Product Offerings</w:t>
            </w:r>
          </w:p>
        </w:tc>
        <w:tc>
          <w:tcPr>
            <w:tcW w:w="15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Camping</w:t>
            </w:r>
          </w:p>
        </w:tc>
        <w:tc>
          <w:tcPr>
            <w:tcW w:w="200" w:type="dxa"/>
            <w:vAlign w:val="bottom"/>
            <w:shd w:val="clear" w:color="auto" w:fill="CFF0FC"/>
          </w:tcPr>
          <w:p>
            <w:pPr>
              <w:spacing w:after="0"/>
              <w:rPr>
                <w:sz w:val="18"/>
                <w:szCs w:val="18"/>
                <w:color w:val="auto"/>
              </w:rPr>
            </w:pPr>
          </w:p>
        </w:tc>
        <w:tc>
          <w:tcPr>
            <w:tcW w:w="5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7"/>
              </w:rPr>
              <w:t>Backpacks, camp essentials, canoes and kayaks, coolers, outdoor</w:t>
            </w:r>
          </w:p>
        </w:tc>
        <w:tc>
          <w:tcPr>
            <w:tcW w:w="14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cooking equipment, sleeping bags, tents and tools</w:t>
            </w:r>
          </w:p>
        </w:tc>
        <w:tc>
          <w:tcPr>
            <w:tcW w:w="1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8.9 %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8"/>
                <w:szCs w:val="18"/>
                <w:color w:val="auto"/>
              </w:rPr>
              <w:t>Apparel</w:t>
            </w:r>
          </w:p>
        </w:tc>
        <w:tc>
          <w:tcPr>
            <w:tcW w:w="2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5"/>
              </w:rPr>
              <w:t>Camouflage, jackets, hats, outerwear, sportswear, technical gear and</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work wear</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7.0 %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2"/>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Fishing</w:t>
            </w:r>
          </w:p>
        </w:tc>
        <w:tc>
          <w:tcPr>
            <w:tcW w:w="20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Bait, electronics, fishing rods, flotation items, fly fishing, lines, lures,</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reels, tackle and small boats</w:t>
            </w:r>
          </w:p>
        </w:tc>
        <w:tc>
          <w:tcPr>
            <w:tcW w:w="1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9.1 %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8"/>
                <w:szCs w:val="18"/>
                <w:color w:val="auto"/>
              </w:rPr>
              <w:t>Footwear</w:t>
            </w:r>
          </w:p>
        </w:tc>
        <w:tc>
          <w:tcPr>
            <w:tcW w:w="2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Hiking boots, socks, sport sandals, technical footwear, trail shoes,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casual shoes, waders and work boots</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6.7 %</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2"/>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Hunting and Shooting</w:t>
            </w:r>
          </w:p>
        </w:tc>
        <w:tc>
          <w:tcPr>
            <w:tcW w:w="200" w:type="dxa"/>
            <w:vAlign w:val="bottom"/>
            <w:shd w:val="clear" w:color="auto" w:fill="CFF0FC"/>
          </w:tcPr>
          <w:p>
            <w:pPr>
              <w:spacing w:after="0"/>
              <w:rPr>
                <w:sz w:val="19"/>
                <w:szCs w:val="19"/>
                <w:color w:val="auto"/>
              </w:rPr>
            </w:pPr>
          </w:p>
        </w:tc>
        <w:tc>
          <w:tcPr>
            <w:tcW w:w="5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6"/>
              </w:rPr>
              <w:t>Ammunition, archery items, ATV accessories, blinds and tree stands,</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decoys, firearms, reloading equipment and shooting gear</w:t>
            </w:r>
          </w:p>
        </w:tc>
        <w:tc>
          <w:tcPr>
            <w:tcW w:w="1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63.2 %</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8"/>
                <w:szCs w:val="18"/>
                <w:color w:val="auto"/>
              </w:rPr>
              <w:t>Optics, Electronics,</w:t>
            </w:r>
          </w:p>
        </w:tc>
        <w:tc>
          <w:tcPr>
            <w:tcW w:w="200" w:type="dxa"/>
            <w:vAlign w:val="bottom"/>
          </w:tcPr>
          <w:p>
            <w:pPr>
              <w:spacing w:after="0"/>
              <w:rPr>
                <w:sz w:val="18"/>
                <w:szCs w:val="18"/>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w w:val="96"/>
              </w:rPr>
              <w:t>Gift items, GPS devices, knives, lighting, optics, two-way radios, and</w:t>
            </w:r>
          </w:p>
        </w:tc>
        <w:tc>
          <w:tcPr>
            <w:tcW w:w="18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5.1 %</w:t>
            </w:r>
          </w:p>
        </w:tc>
        <w:tc>
          <w:tcPr>
            <w:tcW w:w="1800" w:type="dxa"/>
            <w:vAlign w:val="bottom"/>
            <w:gridSpan w:val="3"/>
            <w:vMerge w:val="restart"/>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Accessories, and Other</w:t>
            </w:r>
          </w:p>
        </w:tc>
        <w:tc>
          <w:tcPr>
            <w:tcW w:w="2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other license revenue, net of revenue discounts</w:t>
            </w:r>
          </w:p>
        </w:tc>
        <w:tc>
          <w:tcPr>
            <w:tcW w:w="1800" w:type="dxa"/>
            <w:vAlign w:val="bottom"/>
            <w:gridSpan w:val="3"/>
            <w:vMerge w:val="continue"/>
          </w:tcPr>
          <w:p>
            <w:pPr>
              <w:spacing w:after="0"/>
              <w:rPr>
                <w:sz w:val="20"/>
                <w:szCs w:val="20"/>
                <w:color w:val="auto"/>
              </w:rPr>
            </w:pPr>
          </w:p>
        </w:tc>
        <w:tc>
          <w:tcPr>
            <w:tcW w:w="18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spacing w:after="0"/>
              <w:rPr>
                <w:sz w:val="23"/>
                <w:szCs w:val="23"/>
                <w:color w:val="auto"/>
              </w:rPr>
            </w:pPr>
          </w:p>
        </w:tc>
        <w:tc>
          <w:tcPr>
            <w:tcW w:w="51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7"/>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51"/>
        </w:trPr>
        <w:tc>
          <w:tcPr>
            <w:tcW w:w="2140" w:type="dxa"/>
            <w:vAlign w:val="bottom"/>
            <w:tcBorders>
              <w:top w:val="single" w:sz="8" w:color="CFF0FC"/>
            </w:tcBorders>
          </w:tcPr>
          <w:p>
            <w:pPr>
              <w:spacing w:after="0"/>
              <w:rPr>
                <w:sz w:val="24"/>
                <w:szCs w:val="24"/>
                <w:color w:val="auto"/>
              </w:rPr>
            </w:pPr>
          </w:p>
        </w:tc>
        <w:tc>
          <w:tcPr>
            <w:tcW w:w="5380" w:type="dxa"/>
            <w:vAlign w:val="bottom"/>
            <w:tcBorders>
              <w:top w:val="single" w:sz="8" w:color="CFF0FC"/>
            </w:tcBorders>
            <w:gridSpan w:val="2"/>
          </w:tcPr>
          <w:p>
            <w:pPr>
              <w:jc w:val="right"/>
              <w:ind w:right="1711"/>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-650875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-633730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-633730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as of April 29, 2023 and January 28, 2023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April 29,</w:t>
            </w:r>
          </w:p>
        </w:tc>
        <w:tc>
          <w:tcPr>
            <w:tcW w:w="28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equipment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150,471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170,494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27,132</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property and equipment, gross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351,490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329,373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(174,520 )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(166,787 )</w:t>
            </w:r>
          </w:p>
        </w:tc>
        <w:tc>
          <w:tcPr>
            <w:tcW w:w="0" w:type="dxa"/>
            <w:vAlign w:val="bottom"/>
          </w:tcPr>
          <w:p>
            <w:pPr>
              <w:spacing w:after="0"/>
              <w:rPr>
                <w:sz w:val="1"/>
                <w:szCs w:val="1"/>
                <w:color w:val="auto"/>
              </w:rPr>
            </w:pPr>
          </w:p>
        </w:tc>
      </w:tr>
      <w:tr>
        <w:trPr>
          <w:trHeight w:val="236"/>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176,970</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CFF0FC"/>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162,586</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7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tcPr>
          <w:p>
            <w:pPr>
              <w:spacing w:after="0"/>
              <w:rPr>
                <w:sz w:val="20"/>
                <w:szCs w:val="20"/>
                <w:color w:val="auto"/>
              </w:rPr>
            </w:pPr>
            <w:r>
              <w:rPr>
                <w:rFonts w:ascii="Arial" w:cs="Arial" w:eastAsia="Arial" w:hAnsi="Arial"/>
                <w:sz w:val="18"/>
                <w:szCs w:val="18"/>
                <w:color w:val="auto"/>
              </w:rPr>
              <w:t>Accrued expenses consisted of the following as of April 29, 2023 and January 28, 2023: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April 29,</w:t>
            </w:r>
          </w:p>
        </w:tc>
        <w:tc>
          <w:tcPr>
            <w:tcW w:w="28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Book overdraft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expenses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Sales and use tax payable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5,994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construction costs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90,440</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99,976</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-2580005</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-2580005</wp:posOffset>
            </wp:positionV>
            <wp:extent cx="8572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-2262505</wp:posOffset>
            </wp:positionV>
            <wp:extent cx="8572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-2262505</wp:posOffset>
            </wp:positionV>
            <wp:extent cx="857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7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13 weeks ended April 29, 2023, the Company recorded a non-cash increase of $37,888 to the right of use assets and operating lease liabilities resulting from lease remeasurements from the exercise of lease extension options, acquired leases, and new leases added.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total lease expense was comprised of the following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0"/>
        </w:trPr>
        <w:tc>
          <w:tcPr>
            <w:tcW w:w="760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April 29,</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April 30,</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4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080" w:type="dxa"/>
            <w:vAlign w:val="bottom"/>
            <w:shd w:val="clear" w:color="auto" w:fill="CFF0FC"/>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15,588</w:t>
            </w:r>
          </w:p>
        </w:tc>
        <w:tc>
          <w:tcPr>
            <w:tcW w:w="1420" w:type="dxa"/>
            <w:vAlign w:val="bottom"/>
            <w:gridSpan w:val="3"/>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14,395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4,302</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Total lease expense</w:t>
            </w:r>
          </w:p>
        </w:tc>
        <w:tc>
          <w:tcPr>
            <w:tcW w:w="1080" w:type="dxa"/>
            <w:vAlign w:val="bottom"/>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21,342</w:t>
            </w:r>
          </w:p>
        </w:tc>
        <w:tc>
          <w:tcPr>
            <w:tcW w:w="1420" w:type="dxa"/>
            <w:vAlign w:val="bottom"/>
            <w:gridSpan w:val="3"/>
          </w:tcPr>
          <w:p>
            <w:pPr>
              <w:jc w:val="right"/>
              <w:ind w:right="8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18,967</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other information related to leases was as follows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9"/>
          </w:tcPr>
          <w:p>
            <w:pPr>
              <w:ind w:left="860"/>
              <w:spacing w:after="0"/>
              <w:rPr>
                <w:sz w:val="20"/>
                <w:szCs w:val="20"/>
                <w:color w:val="auto"/>
              </w:rPr>
            </w:pPr>
            <w:r>
              <w:rPr>
                <w:rFonts w:ascii="Arial" w:cs="Arial" w:eastAsia="Arial" w:hAnsi="Arial"/>
                <w:sz w:val="14"/>
                <w:szCs w:val="14"/>
                <w:b w:val="1"/>
                <w:bCs w:val="1"/>
                <w:color w:val="auto"/>
              </w:rPr>
              <w:t>Thirteen Weeks Ended</w:t>
            </w:r>
          </w:p>
        </w:tc>
      </w:tr>
      <w:tr>
        <w:trPr>
          <w:trHeight w:val="160"/>
        </w:trPr>
        <w:tc>
          <w:tcPr>
            <w:tcW w:w="7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390"/>
              <w:spacing w:after="0" w:line="160" w:lineRule="exact"/>
              <w:rPr>
                <w:sz w:val="20"/>
                <w:szCs w:val="20"/>
                <w:color w:val="auto"/>
              </w:rPr>
            </w:pPr>
            <w:r>
              <w:rPr>
                <w:rFonts w:ascii="Arial" w:cs="Arial" w:eastAsia="Arial" w:hAnsi="Arial"/>
                <w:sz w:val="14"/>
                <w:szCs w:val="14"/>
                <w:b w:val="1"/>
                <w:bCs w:val="1"/>
                <w:color w:val="auto"/>
              </w:rPr>
              <w:t>April 29,</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435"/>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7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(16,826</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409"/>
        </w:trPr>
        <w:tc>
          <w:tcPr>
            <w:tcW w:w="7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center"/>
              <w:ind w:right="510"/>
              <w:spacing w:after="0"/>
              <w:rPr>
                <w:sz w:val="20"/>
                <w:szCs w:val="20"/>
                <w:color w:val="auto"/>
              </w:rPr>
            </w:pPr>
            <w:r>
              <w:rPr>
                <w:rFonts w:ascii="Arial" w:cs="Arial" w:eastAsia="Arial" w:hAnsi="Arial"/>
                <w:sz w:val="14"/>
                <w:szCs w:val="14"/>
                <w:b w:val="1"/>
                <w:bCs w:val="1"/>
                <w:color w:val="auto"/>
                <w:w w:val="93"/>
              </w:rPr>
              <w:t>As of April 29,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 April 30,</w:t>
            </w:r>
          </w:p>
        </w:tc>
      </w:tr>
      <w:tr>
        <w:trPr>
          <w:trHeight w:val="185"/>
        </w:trPr>
        <w:tc>
          <w:tcPr>
            <w:tcW w:w="7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or remeasured operating lease liabilities</w:t>
            </w: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37,888</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6,378</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Terminated right-of-use assets and liabilities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4"/>
          </w:tcPr>
          <w:p>
            <w:pPr>
              <w:jc w:val="right"/>
              <w:ind w:right="70"/>
              <w:spacing w:after="0"/>
              <w:rPr>
                <w:sz w:val="20"/>
                <w:szCs w:val="20"/>
                <w:color w:val="auto"/>
              </w:rPr>
            </w:pPr>
            <w:r>
              <w:rPr>
                <w:rFonts w:ascii="Arial" w:cs="Arial" w:eastAsia="Arial" w:hAnsi="Arial"/>
                <w:sz w:val="18"/>
                <w:szCs w:val="18"/>
                <w:color w:val="auto"/>
              </w:rPr>
              <w:t>7.80 %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8.21 %</w:t>
            </w:r>
          </w:p>
        </w:tc>
        <w:tc>
          <w:tcPr>
            <w:tcW w:w="20" w:type="dxa"/>
            <w:vAlign w:val="bottom"/>
          </w:tcPr>
          <w:p>
            <w:pPr>
              <w:spacing w:after="0"/>
              <w:rPr>
                <w:sz w:val="20"/>
                <w:szCs w:val="20"/>
                <w:color w:val="auto"/>
              </w:rPr>
            </w:pPr>
          </w:p>
        </w:tc>
      </w:tr>
      <w:tr>
        <w:trPr>
          <w:trHeight w:val="472"/>
        </w:trPr>
        <w:tc>
          <w:tcPr>
            <w:tcW w:w="7800" w:type="dxa"/>
            <w:vAlign w:val="bottom"/>
            <w:gridSpan w:val="3"/>
          </w:tcPr>
          <w:p>
            <w:pPr>
              <w:spacing w:after="0"/>
              <w:rPr>
                <w:sz w:val="20"/>
                <w:szCs w:val="20"/>
                <w:color w:val="auto"/>
              </w:rPr>
            </w:pPr>
            <w:r>
              <w:rPr>
                <w:rFonts w:ascii="Arial" w:cs="Arial" w:eastAsia="Arial" w:hAnsi="Arial"/>
                <w:sz w:val="18"/>
                <w:szCs w:val="18"/>
                <w:color w:val="auto"/>
                <w:w w:val="93"/>
              </w:rPr>
              <w:t>In accordance with ASC 842, maturities of operating lease liabilities as of April 29, 2023 were as follows: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9"/>
        </w:trPr>
        <w:tc>
          <w:tcPr>
            <w:tcW w:w="7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Year Ending: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Leases</w:t>
            </w:r>
          </w:p>
        </w:tc>
      </w:tr>
      <w:tr>
        <w:trPr>
          <w:trHeight w:val="237"/>
        </w:trPr>
        <w:tc>
          <w:tcPr>
            <w:tcW w:w="7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gridSpan w:val="2"/>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52,950</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520" w:type="dxa"/>
            <w:vAlign w:val="bottom"/>
          </w:tcPr>
          <w:p>
            <w:pPr>
              <w:ind w:left="6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68,426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520" w:type="dxa"/>
            <w:vAlign w:val="bottom"/>
          </w:tcPr>
          <w:p>
            <w:pPr>
              <w:ind w:left="6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52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Undiscounted cash flows</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gridSpan w:val="3"/>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457,395</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Reconciliation of lease liabilities: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Present values</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80" w:type="dxa"/>
            <w:vAlign w:val="bottom"/>
            <w:gridSpan w:val="4"/>
            <w:shd w:val="clear" w:color="auto" w:fill="CFF0FC"/>
          </w:tcPr>
          <w:p>
            <w:pPr>
              <w:ind w:left="1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343,271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520" w:type="dxa"/>
            <w:vAlign w:val="bottom"/>
          </w:tcPr>
          <w:p>
            <w:pPr>
              <w:ind w:left="200"/>
              <w:spacing w:after="0"/>
              <w:rPr>
                <w:sz w:val="20"/>
                <w:szCs w:val="20"/>
                <w:color w:val="auto"/>
              </w:rPr>
            </w:pPr>
            <w:r>
              <w:rPr>
                <w:rFonts w:ascii="Arial" w:cs="Arial" w:eastAsia="Arial" w:hAnsi="Arial"/>
                <w:sz w:val="18"/>
                <w:szCs w:val="18"/>
                <w:color w:val="auto"/>
              </w:rPr>
              <w:t>Lease liabilities - current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liabilities - noncurrent</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296,640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Lease liabilities - total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343,271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Difference between undiscounted and discounted cash flows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114,124</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-967740</wp:posOffset>
            </wp:positionV>
            <wp:extent cx="8572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excluded in the table above approximately $14.1 million of leases (undiscounted basis) that were entered into as of May 15, 2023. These leases will commence in 2023 with lease terms of 10 years</w:t>
      </w:r>
      <w:r>
        <w:rPr>
          <w:rFonts w:ascii="Arial" w:cs="Arial" w:eastAsia="Arial" w:hAnsi="Arial"/>
          <w:sz w:val="16"/>
          <w:szCs w:val="16"/>
          <w:i w:val="1"/>
          <w:iCs w:val="1"/>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Revolving Line of Credit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April 29, 2023 and January 28, 2023, the Company had $162,581 and $96,892, respectively, in outstanding revolving loans under the Revolving Line of Credit. Amounts outstanding are offset on the condensed consolidated balance sheets by amounts in depository accounts under lock-box type arrangements, which were $12,331 and $9,389 as of April 29, 2023 and January 28, 2023, respectively. As of April 29, 2023, the Company had $150,452 available for borrowing, subject to certain borrowing base restrictions and stand-by commercial letters of credit of $1,967 under the terms of the Revolving Line of Credit.</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Borrowings under the Revolving Line of Credit bear interest based on either the base rate or Term SOFR (as defined in the Credit Agreement), at the Company’s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w:t>
      </w:r>
    </w:p>
    <w:p>
      <w:pPr>
        <w:spacing w:after="0" w:line="17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 Company to maintain a minimum availability at all times of not less than 10.0% of the gross borrowing base and contains customary events of default. The Revolving Line of Credit matures on May 27, 2027.</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of April 29, 2023 and January 28, 2023, the Credit Agreement had $619 and $657, respectively, in deferred financing fees. During the 13 weeks ended April 29, 2023, the Company recognized $38 of non-cash interest expense with respect to the amortization of deferred financing fees. During the 13 weeks ended April 30, 2022, the Company recognized $63 of non-cash interest expense with respect to the amortization of deferred financing fees.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13 weeks ended April 29, 2023, gross borrowings under the Revolving Line of Credit were $357,346. During the 13 weeks ended April 30, 2022 gross borrowing under the Company’s prior revolving line of credit were $372,716. During the 13 weeks ended April 29, 2023, gross paydowns under the Revolving Line of Credit were $293,798. During the 13 weeks ended April 30, 2022, gross paydowns under the Company’s prior revolving line of credit were $337,639.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Net Assets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provisions of the Revolving Line of Credit restrict all of the net assets of the Company’s consolidated subsidiaries, which constitute all of the net assets on the Company’s condensed consolidated balance sheet as of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April 29, 2023, from being used to pay any dividends without prior written consent from the financial institutions party to the Revolving Line of Credit.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recognized income tax benefit of $5,367 and income tax expense of $441, respectively, in the 13 weeks ended April 29, 2023 and April 30, 2022. The Company’s effective tax rate during the 13 weeks ended April 29, 2023 and April 30, 2022 was 25.5% and 18.1%, respectively. The Company’s effective tax rate will generally differ from the U.S. Federal statutory rate of 21.0%, due to state taxes, permanent items, and discrete items relating to stock award deductions.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shares of common stock outstanding, reduced by the number of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954"/>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r>
      <w:tr>
        <w:trPr>
          <w:trHeight w:val="160"/>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ind w:left="200"/>
              <w:spacing w:after="0" w:line="160" w:lineRule="exact"/>
              <w:rPr>
                <w:sz w:val="20"/>
                <w:szCs w:val="20"/>
                <w:color w:val="auto"/>
              </w:rPr>
            </w:pPr>
            <w:r>
              <w:rPr>
                <w:rFonts w:ascii="Arial" w:cs="Arial" w:eastAsia="Arial" w:hAnsi="Arial"/>
                <w:sz w:val="14"/>
                <w:szCs w:val="14"/>
                <w:b w:val="1"/>
                <w:bCs w:val="1"/>
                <w:color w:val="auto"/>
              </w:rPr>
              <w:t>April 29,</w:t>
            </w:r>
          </w:p>
        </w:tc>
        <w:tc>
          <w:tcPr>
            <w:tcW w:w="320" w:type="dxa"/>
            <w:vAlign w:val="bottom"/>
          </w:tcPr>
          <w:p>
            <w:pPr>
              <w:spacing w:after="0"/>
              <w:rPr>
                <w:sz w:val="13"/>
                <w:szCs w:val="13"/>
                <w:color w:val="auto"/>
              </w:rPr>
            </w:pPr>
          </w:p>
        </w:tc>
        <w:tc>
          <w:tcPr>
            <w:tcW w:w="1260" w:type="dxa"/>
            <w:vAlign w:val="bottom"/>
          </w:tcPr>
          <w:p>
            <w:pPr>
              <w:jc w:val="right"/>
              <w:ind w:right="434"/>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7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Dilutive effect of common stock equivalents</w:t>
            </w:r>
          </w:p>
        </w:tc>
        <w:tc>
          <w:tcPr>
            <w:tcW w:w="320" w:type="dxa"/>
            <w:vAlign w:val="bottom"/>
          </w:tcPr>
          <w:p>
            <w:pPr>
              <w:spacing w:after="0"/>
              <w:rPr>
                <w:sz w:val="20"/>
                <w:szCs w:val="20"/>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44,221</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(0.42 )</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(loss) earnings per share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Restricted stock units considered anti-dilutive and excluded in the calculation</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-1216660</wp:posOffset>
            </wp:positionV>
            <wp:extent cx="130302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-565150</wp:posOffset>
            </wp:positionV>
            <wp:extent cx="1303020"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03020" cy="20574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-205105</wp:posOffset>
            </wp:positionV>
            <wp:extent cx="1303020"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March 24, 2022 the Company announced that its Board of Directors had authorized a share repurchase program (the “Repurchase Program”) to allow for the repurchase of up to $75.0 million of outstanding shares of the Company’s common stock, $0.01 par value per share, commencing on March 31, 2022. On March 15, 2023, the Company's Board of Directors extended the term of the Repurchase Program through March 31, 2024. During the 13 weeks ended April 29, 2023, the Company repurchased approximately 0.1 million shares of its common stock for $0.7 million, utilizing cash on hand and available borrowings under its Revolving Line of Credit. The Company has retired all repurchased stock.</w:t>
      </w:r>
    </w:p>
    <w:p>
      <w:pPr>
        <w:spacing w:after="0" w:line="280" w:lineRule="exact"/>
        <w:rPr>
          <w:sz w:val="20"/>
          <w:szCs w:val="20"/>
          <w:color w:val="auto"/>
        </w:rPr>
      </w:pPr>
    </w:p>
    <w:p>
      <w:pPr>
        <w:ind w:right="8780" w:firstLine="8"/>
        <w:spacing w:after="0" w:line="453" w:lineRule="auto"/>
        <w:tabs>
          <w:tab w:leader="none" w:pos="345"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Stock-Based Compensation</w:t>
      </w:r>
    </w:p>
    <w:p>
      <w:pPr>
        <w:spacing w:after="0" w:line="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During the 13 weeks ended April 29, 2023, the Company recognized total stock-based compensation expense of $1,250. During the 13 weeks ended April 30, 2022, the Company recognized total stock-based compensation expense of $1,358. Compensation expense related to the Company's stock-based payment awards is recognized in selling, general, and administrative expenses in the condensed consolidated statements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April 29, 2023, the number of shares available for awards under the 2019 Performance Incentive Plan (the “2019 Plan”) was 1,401. As of April 29, 2023, there were 1,007 unvested stock awards outstanding under the 2019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also maintains an Employee Stock Purchase Plan (the “ESPP”) that was approved by the Company's stockholders in fiscal year 2015, under which 800 shares of common stock were authorized. During the 13 weeks ended April 29, 2023, no shares were issued under the ESPP and, as of April 29, 2023, the number of shares available for issuance was 270.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Performance-Based Stock Awards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13 weeks ended April 29,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percentage of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17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13 weeks ended April 30, 2022, the Company issued 141 nonvested performance-based stock awards to employees at a weighted average grant date fair value of $11.29 per share. The nonvested performance-based stock awards issued to employees vest in full on the third anniversary of the grant date. The number of shares issued is contingent on management achieving fiscal year 2022, 2023, and 2024 performance targets for total revenue growth and adjusted EPS. If minimum threshold performance targets are not achieved, no shares will vest. The maximum number of shares subject to the award is 282, and the “target” number of shares subject to the award is 141 as reported below. Following the end of the performance period (fiscal years 2022, 2023, and 2024), the number of shares eligible to vest, based on actual performance, will be fixed and vesting will then be subject to each employee’s continued employment over the remaining service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r>
      <w:tr>
        <w:trPr>
          <w:trHeight w:val="176"/>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40" w:type="dxa"/>
            <w:vAlign w:val="bottom"/>
          </w:tcPr>
          <w:p>
            <w:pPr>
              <w:spacing w:after="0"/>
              <w:rPr>
                <w:sz w:val="15"/>
                <w:szCs w:val="15"/>
                <w:color w:val="auto"/>
              </w:rPr>
            </w:pPr>
          </w:p>
        </w:tc>
      </w:tr>
      <w:tr>
        <w:trPr>
          <w:trHeight w:val="185"/>
        </w:trPr>
        <w:tc>
          <w:tcPr>
            <w:tcW w:w="756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FF0FC"/>
          </w:tcPr>
          <w:p>
            <w:pPr>
              <w:spacing w:after="0"/>
              <w:rPr>
                <w:sz w:val="20"/>
                <w:szCs w:val="20"/>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0"/>
                <w:szCs w:val="20"/>
                <w:color w:val="auto"/>
              </w:rPr>
            </w:pPr>
          </w:p>
        </w:tc>
      </w:tr>
      <w:tr>
        <w:trPr>
          <w:trHeight w:val="249"/>
        </w:trPr>
        <w:tc>
          <w:tcPr>
            <w:tcW w:w="8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(64 )</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FF0FC"/>
          </w:tcPr>
          <w:p>
            <w:pPr>
              <w:spacing w:after="0"/>
              <w:rPr>
                <w:sz w:val="21"/>
                <w:szCs w:val="21"/>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(221 )</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20"/>
                <w:szCs w:val="20"/>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April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851"/>
        </w:trPr>
        <w:tc>
          <w:tcPr>
            <w:tcW w:w="7560" w:type="dxa"/>
            <w:vAlign w:val="bottom"/>
          </w:tcPr>
          <w:p>
            <w:pPr>
              <w:ind w:left="554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75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-650875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-633730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-650875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-633730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r>
      <w:tr>
        <w:trPr>
          <w:trHeight w:val="176"/>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40" w:type="dxa"/>
            <w:vAlign w:val="bottom"/>
          </w:tcPr>
          <w:p>
            <w:pPr>
              <w:spacing w:after="0"/>
              <w:rPr>
                <w:sz w:val="15"/>
                <w:szCs w:val="15"/>
                <w:color w:val="auto"/>
              </w:rPr>
            </w:pPr>
          </w:p>
        </w:tc>
      </w:tr>
      <w:tr>
        <w:trPr>
          <w:trHeight w:val="185"/>
        </w:trPr>
        <w:tc>
          <w:tcPr>
            <w:tcW w:w="756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6"/>
                <w:szCs w:val="16"/>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FF0FC"/>
          </w:tcPr>
          <w:p>
            <w:pPr>
              <w:spacing w:after="0"/>
              <w:rPr>
                <w:sz w:val="20"/>
                <w:szCs w:val="20"/>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20"/>
                <w:szCs w:val="20"/>
                <w:color w:val="auto"/>
              </w:rPr>
            </w:pPr>
          </w:p>
        </w:tc>
      </w:tr>
      <w:tr>
        <w:trPr>
          <w:trHeight w:val="249"/>
        </w:trPr>
        <w:tc>
          <w:tcPr>
            <w:tcW w:w="8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(39 )</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FF0FC"/>
          </w:tcPr>
          <w:p>
            <w:pPr>
              <w:spacing w:after="0"/>
              <w:rPr>
                <w:sz w:val="21"/>
                <w:szCs w:val="21"/>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(168 )</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0"/>
                <w:szCs w:val="20"/>
                <w:color w:val="auto"/>
              </w:rPr>
            </w:pPr>
          </w:p>
        </w:tc>
      </w:tr>
      <w:tr>
        <w:trPr>
          <w:trHeight w:val="27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April 30, 2022</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Stock Unit Awards</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13 weeks ended April 29, 2023, the Company issued 522 nonvested stock units to employees of the Company at an average value of $8.20 per share. The shares issued to employees of the Company vest over a three-year period with one third of the shares vesting on each anniversary of the grant date.</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13 weeks ended April 30, 2022, the Company issued 308 nonvested stock units to employees of the Company at an average value of $11.28 per share. The shares issued to employees of the Company vest over a three-year period with one third of the shares vesting on each anniversary of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rollforward of outstanding nonvested stock units (per share amounts are not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5"/>
                <w:szCs w:val="15"/>
                <w:color w:val="auto"/>
              </w:rPr>
            </w:pPr>
          </w:p>
        </w:tc>
      </w:t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r>
      <w:tr>
        <w:trPr>
          <w:trHeight w:val="176"/>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40" w:type="dxa"/>
            <w:vAlign w:val="bottom"/>
          </w:tcPr>
          <w:p>
            <w:pPr>
              <w:spacing w:after="0"/>
              <w:rPr>
                <w:sz w:val="15"/>
                <w:szCs w:val="15"/>
                <w:color w:val="auto"/>
              </w:rPr>
            </w:pPr>
          </w:p>
        </w:tc>
      </w:tr>
      <w:tr>
        <w:trPr>
          <w:trHeight w:val="185"/>
        </w:trPr>
        <w:tc>
          <w:tcPr>
            <w:tcW w:w="756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FF0FC"/>
          </w:tcPr>
          <w:p>
            <w:pPr>
              <w:spacing w:after="0"/>
              <w:rPr>
                <w:sz w:val="20"/>
                <w:szCs w:val="20"/>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Pr>
          <w:p>
            <w:pPr>
              <w:spacing w:after="0"/>
              <w:rPr>
                <w:sz w:val="20"/>
                <w:szCs w:val="20"/>
                <w:color w:val="auto"/>
              </w:rPr>
            </w:pPr>
          </w:p>
        </w:tc>
      </w:tr>
      <w:tr>
        <w:trPr>
          <w:trHeight w:val="249"/>
        </w:trPr>
        <w:tc>
          <w:tcPr>
            <w:tcW w:w="8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(91 )</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21"/>
                <w:szCs w:val="21"/>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(209 )</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20"/>
                <w:szCs w:val="20"/>
                <w:color w:val="auto"/>
              </w:rPr>
            </w:pPr>
          </w:p>
        </w:tc>
      </w:tr>
      <w:tr>
        <w:trPr>
          <w:trHeight w:val="27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April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396"/>
        </w:trPr>
        <w:tc>
          <w:tcPr>
            <w:tcW w:w="7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r>
      <w:tr>
        <w:trPr>
          <w:trHeight w:val="175"/>
        </w:trPr>
        <w:tc>
          <w:tcPr>
            <w:tcW w:w="7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40" w:type="dxa"/>
            <w:vAlign w:val="bottom"/>
          </w:tcPr>
          <w:p>
            <w:pPr>
              <w:spacing w:after="0"/>
              <w:rPr>
                <w:sz w:val="15"/>
                <w:szCs w:val="15"/>
                <w:color w:val="auto"/>
              </w:rPr>
            </w:pPr>
          </w:p>
        </w:tc>
      </w:tr>
      <w:tr>
        <w:trPr>
          <w:trHeight w:val="185"/>
        </w:trPr>
        <w:tc>
          <w:tcPr>
            <w:tcW w:w="756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6"/>
                <w:szCs w:val="16"/>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FF0FC"/>
          </w:tcPr>
          <w:p>
            <w:pPr>
              <w:spacing w:after="0"/>
              <w:rPr>
                <w:sz w:val="20"/>
                <w:szCs w:val="20"/>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Pr>
          <w:p>
            <w:pPr>
              <w:spacing w:after="0"/>
              <w:rPr>
                <w:sz w:val="20"/>
                <w:szCs w:val="20"/>
                <w:color w:val="auto"/>
              </w:rPr>
            </w:pPr>
          </w:p>
        </w:tc>
      </w:tr>
      <w:tr>
        <w:trPr>
          <w:trHeight w:val="249"/>
        </w:trPr>
        <w:tc>
          <w:tcPr>
            <w:tcW w:w="8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(21 )</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40" w:type="dxa"/>
            <w:vAlign w:val="bottom"/>
            <w:shd w:val="clear" w:color="auto" w:fill="CFF0FC"/>
          </w:tcPr>
          <w:p>
            <w:pPr>
              <w:spacing w:after="0"/>
              <w:rPr>
                <w:sz w:val="21"/>
                <w:szCs w:val="21"/>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(248 )</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0"/>
                <w:szCs w:val="20"/>
                <w:color w:val="auto"/>
              </w:rPr>
            </w:pPr>
          </w:p>
        </w:tc>
      </w:tr>
      <w:tr>
        <w:trPr>
          <w:trHeight w:val="27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April 30, 2022</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-1439545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-1422400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-1422400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340" w:firstLine="8"/>
        <w:spacing w:after="0" w:line="378"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80"/>
        <w:spacing w:after="0" w:line="263" w:lineRule="auto"/>
        <w:rPr>
          <w:sz w:val="20"/>
          <w:szCs w:val="20"/>
          <w:color w:val="auto"/>
        </w:rPr>
      </w:pPr>
      <w:r>
        <w:rPr>
          <w:rFonts w:ascii="Arial" w:cs="Arial" w:eastAsia="Arial" w:hAnsi="Arial"/>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TMS McCarthy, LP, Etc., Pltf. v. Sportsman’s Warehouse Southwest, Inc</w:t>
      </w:r>
      <w:r>
        <w:rPr>
          <w:rFonts w:ascii="Arial" w:cs="Arial" w:eastAsia="Arial" w:hAnsi="Arial"/>
          <w:sz w:val="18"/>
          <w:szCs w:val="18"/>
          <w:color w:val="auto"/>
        </w:rPr>
        <w:t>. Etc. Et Al., Dfts.- On June 23, 2020 TMS McCarthy, LP (“TMS McCarthy”) filed</w:t>
      </w:r>
      <w:r>
        <w:rPr>
          <w:rFonts w:ascii="Arial" w:cs="Arial" w:eastAsia="Arial" w:hAnsi="Arial"/>
          <w:sz w:val="18"/>
          <w:szCs w:val="18"/>
          <w:i w:val="1"/>
          <w:iCs w:val="1"/>
          <w:color w:val="auto"/>
        </w:rPr>
        <w:t xml:space="preserve"> </w:t>
      </w:r>
      <w:r>
        <w:rPr>
          <w:rFonts w:ascii="Arial" w:cs="Arial" w:eastAsia="Arial" w:hAnsi="Arial"/>
          <w:sz w:val="18"/>
          <w:szCs w:val="18"/>
          <w:color w:val="auto"/>
        </w:rPr>
        <w:t>a complaint in the Superior Court of the State of California for the County of Santa Clara against Sportsman’s Warehouse Southwest, Inc., a wholly owned subsidiary of Sportsman’s</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Warehouse Holdings Inc., claiming the Company wrongfully terminated the lease relating to one of its stores. During the 13 weeks ended April 29, 2023, the Company entered into a settlement agreement with TMS McCarthy to settle the lawsuit. As part of the settlement agreement, the Company made a one-time payment to TMS McCarthy during the 13 weeks ended April 29, 2023 in the amount of $2,087. TMS McCarthy agreed to dismiss all claims in the litigation.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2022 Form 10-K. Also see “Special Note Regarding Forward-Looking Statements” preceding Part I in this 10-Q. Additionally, our historical results are not necessarily indicative of the results that may be expected for any period in the future.</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70"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 xml:space="preserve">Our business was founded in 1986 as a single retail store in Midvale, Utah. Today, we operate 136 stores in 31 states, totaling approximately 5.1 million gross square feet. We also operate an e-commerce platform at </w:t>
      </w:r>
      <w:r>
        <w:rPr>
          <w:rFonts w:ascii="Arial" w:cs="Arial" w:eastAsia="Arial" w:hAnsi="Arial"/>
          <w:sz w:val="16"/>
          <w:szCs w:val="16"/>
          <w:i w:val="1"/>
          <w:iCs w:val="1"/>
          <w:color w:val="auto"/>
        </w:rPr>
        <w:t>www.sportsmans.com</w:t>
      </w:r>
      <w:r>
        <w:rPr>
          <w:rFonts w:ascii="Arial" w:cs="Arial" w:eastAsia="Arial" w:hAnsi="Arial"/>
          <w:sz w:val="16"/>
          <w:szCs w:val="16"/>
          <w:color w:val="auto"/>
        </w:rPr>
        <w:t>. We do not incorporate the information on or accessible through our website into this 10-Q, and you should not consider any information on, or that can be accessed through, our website as part of this 10-Q.</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Since the beginning of the COVID-19 pandemic in mid-March 2020 and continuing into the first quarter of our fiscal year 2023, we have experienced increases in net sales compared to pre-pandemic levels, primarily driven by historically high sales in certain product categories, particularly firearms and ammunition. However, while our net sales and same store sales remain elevated as compared to pre-COVID periods, we are continuing to experience steady decreases in net sales and same store sales from the COVID-driven peak levels in 2021.</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Global economic and business activities continue to face widespread macroeconomic uncertainties, including labor shortages, inflation and monetary supply shifts, recession risks and potential disruptions from the Russia-Ukraine conflict. Starting in the second half of 2022 and continuing into the first quarter of 2023, our business was impacted by consumer inflationary pressures and recession concerns. 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and Same Store Sales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13th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w:t>
      </w:r>
    </w:p>
    <w:p>
      <w:pPr>
        <w:spacing w:after="0" w:line="2"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during the 53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Measuring the change in year-over-year same store sales allows us to evaluate how our retail store base is performing. Various factors affect same store sales, including:</w:t>
      </w:r>
    </w:p>
    <w:p>
      <w:pPr>
        <w:spacing w:after="0" w:line="62" w:lineRule="exact"/>
        <w:rPr>
          <w:sz w:val="20"/>
          <w:szCs w:val="20"/>
          <w:color w:val="auto"/>
        </w:rPr>
      </w:pPr>
    </w:p>
    <w:p>
      <w:pPr>
        <w:ind w:left="1020" w:right="120" w:hanging="503"/>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factors, such as the ongoing impact of the COVID-19 pandemic, political trends, social unrest, inflationary pressures, recessionary trends, labor shortages, monetary supply shifts, rising interest rates, tightening of credit markets, and potential disruptions from the ongoing Russia-Ukraine conflict;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or anticipated changes to laws and government regulations related to some of the products we sell, in particular regulations relating to the sale of firearms and ammunition;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local and regional trends and customer preferences;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provide quality customer service that will increase our conversion of shoppers into paying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omni-channel strategy and our e-commerce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regional market of a store;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atypical weather;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changes in our product mix;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pricing and average ticket sales.</w:t>
      </w:r>
    </w:p>
    <w:p>
      <w:pPr>
        <w:spacing w:after="0" w:line="26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We currently operate eight stores in the State of Oregon.</w:t>
      </w:r>
    </w:p>
    <w:p>
      <w:pPr>
        <w:spacing w:after="0" w:line="2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Opening new stores and acquiring store locations is also an important part of our growth strategy. For fiscal year 2022 we opened nine stores and we currently plan to open 15 new stores in fiscal year 2023. We may deviate from this target if attractive opportunities are presented to open stores or acquire new store locations outside of our target growth rate.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also have been scaling our e-commerce platform and increasing sales through our website, </w:t>
      </w:r>
      <w:r>
        <w:rPr>
          <w:rFonts w:ascii="Arial" w:cs="Arial" w:eastAsia="Arial" w:hAnsi="Arial"/>
          <w:sz w:val="18"/>
          <w:szCs w:val="18"/>
          <w:i w:val="1"/>
          <w:iCs w:val="1"/>
          <w:color w:val="auto"/>
        </w:rPr>
        <w:t>www.sportsmans.com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key drivers to increasing our total net sales include:</w:t>
      </w:r>
    </w:p>
    <w:p>
      <w:pPr>
        <w:spacing w:after="0" w:line="131"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total gross square footage by opening new stores and through strategic acquisitions;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and improving same store sales in our existing markets;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customer visits to our stores and improving our conversion rate through focused marketing efforts and continually high standards of customer service;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our loyalty and credit card programs;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expanding our omni-channel capabilities through larger assortment and inventory, expanded content and expertise and better user experience.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We believe that the overall growth of our business can also help improve our gross margins, because increased merchandise volumes will enable us to maintain our strong relationships with our vendors.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that our selling, general, and administrative expenses will increase in future periods due to our continuing growth. In addition, we have experienced increased payroll expenses due to increased minimum wages and generally increasing salaries and wages due to a competitive labor market and inflation. We expect payroll expense to increase in fiscal year 2023. In response to persistent consumer inflationary pressures and adverse weather conditions in the Western United States during the first half of fiscal year 2023, we are currently developing a company-wide plan to reduce expenses, with increased focus on financial discipline and rigor throughout the organization.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define Adjusted EBITDA as net income plus interest expense, income tax expense, depreciation and amortization, stock-based compensation expense, pre-opening expenses,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as a percentage of net sales during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Thirteen Weeks Ended</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20" w:type="dxa"/>
            <w:vAlign w:val="bottom"/>
          </w:tcPr>
          <w:p>
            <w:pPr>
              <w:spacing w:after="0"/>
              <w:rPr>
                <w:sz w:val="13"/>
                <w:szCs w:val="13"/>
                <w:color w:val="auto"/>
              </w:rPr>
            </w:pPr>
          </w:p>
        </w:tc>
        <w:tc>
          <w:tcPr>
            <w:tcW w:w="1020" w:type="dxa"/>
            <w:vAlign w:val="bottom"/>
          </w:tcPr>
          <w:p>
            <w:pPr>
              <w:ind w:left="480"/>
              <w:spacing w:after="0" w:line="160" w:lineRule="exact"/>
              <w:rPr>
                <w:sz w:val="20"/>
                <w:szCs w:val="20"/>
                <w:color w:val="auto"/>
              </w:rPr>
            </w:pPr>
            <w:r>
              <w:rPr>
                <w:rFonts w:ascii="Arial" w:cs="Arial" w:eastAsia="Arial" w:hAnsi="Arial"/>
                <w:sz w:val="14"/>
                <w:szCs w:val="14"/>
                <w:b w:val="1"/>
                <w:bCs w:val="1"/>
                <w:color w:val="auto"/>
                <w:w w:val="94"/>
              </w:rPr>
              <w:t>April 29,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left="428"/>
              <w:spacing w:after="0" w:line="160" w:lineRule="exact"/>
              <w:rPr>
                <w:sz w:val="20"/>
                <w:szCs w:val="20"/>
                <w:color w:val="auto"/>
              </w:rPr>
            </w:pPr>
            <w:r>
              <w:rPr>
                <w:rFonts w:ascii="Arial" w:cs="Arial" w:eastAsia="Arial" w:hAnsi="Arial"/>
                <w:sz w:val="14"/>
                <w:szCs w:val="14"/>
                <w:b w:val="1"/>
                <w:bCs w:val="1"/>
                <w:color w:val="auto"/>
                <w:w w:val="97"/>
              </w:rPr>
              <w:t>April 30,</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640" w:type="dxa"/>
            <w:vAlign w:val="bottom"/>
            <w:gridSpan w:val="2"/>
          </w:tcPr>
          <w:p>
            <w:pPr>
              <w:ind w:left="8220"/>
              <w:spacing w:after="0"/>
              <w:rPr>
                <w:sz w:val="20"/>
                <w:szCs w:val="20"/>
                <w:color w:val="auto"/>
              </w:rPr>
            </w:pPr>
            <w:r>
              <w:rPr>
                <w:rFonts w:ascii="Arial" w:cs="Arial" w:eastAsia="Arial" w:hAnsi="Arial"/>
                <w:sz w:val="14"/>
                <w:szCs w:val="14"/>
                <w:b w:val="1"/>
                <w:bCs w:val="1"/>
                <w:color w:val="auto"/>
              </w:rPr>
              <w:t>2023</w:t>
            </w:r>
          </w:p>
        </w:tc>
        <w:tc>
          <w:tcPr>
            <w:tcW w:w="196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Percentage of net sales:</w:t>
            </w:r>
          </w:p>
        </w:tc>
        <w:tc>
          <w:tcPr>
            <w:tcW w:w="10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100.0 %</w:t>
            </w:r>
          </w:p>
        </w:tc>
        <w:tc>
          <w:tcPr>
            <w:tcW w:w="1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3"/>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0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(Loss) income from operations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1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02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xml:space="preserve">0.7 </w:t>
            </w:r>
            <w:r>
              <w:rPr>
                <w:rFonts w:ascii="Arial" w:cs="Arial" w:eastAsia="Arial" w:hAnsi="Arial"/>
                <w:sz w:val="18"/>
                <w:szCs w:val="18"/>
                <w:color w:val="auto"/>
                <w:highlight w:val="white"/>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10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0"/>
              </w:rPr>
              <w:t>)%</w:t>
            </w:r>
          </w:p>
        </w:tc>
        <w:tc>
          <w:tcPr>
            <w:tcW w:w="120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1"/>
        </w:trPr>
        <w:tc>
          <w:tcPr>
            <w:tcW w:w="7620" w:type="dxa"/>
            <w:vAlign w:val="bottom"/>
          </w:tcPr>
          <w:p>
            <w:pPr>
              <w:ind w:left="554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-1953895</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-1953895</wp:posOffset>
            </wp:positionV>
            <wp:extent cx="8572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-1636395</wp:posOffset>
            </wp:positionV>
            <wp:extent cx="8572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-1636395</wp:posOffset>
            </wp:positionV>
            <wp:extent cx="8572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-1319530</wp:posOffset>
            </wp:positionV>
            <wp:extent cx="8572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-1319530</wp:posOffset>
            </wp:positionV>
            <wp:extent cx="85725"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-659130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-642620</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-642620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net sales during the periods presented by department: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gridSpan w:val="3"/>
          </w:tcPr>
          <w:p>
            <w:pPr>
              <w:jc w:val="right"/>
              <w:ind w:right="640"/>
              <w:spacing w:after="0" w:line="160" w:lineRule="exact"/>
              <w:rPr>
                <w:sz w:val="20"/>
                <w:szCs w:val="20"/>
                <w:color w:val="auto"/>
              </w:rPr>
            </w:pPr>
            <w:r>
              <w:rPr>
                <w:rFonts w:ascii="Arial" w:cs="Arial" w:eastAsia="Arial" w:hAnsi="Arial"/>
                <w:sz w:val="14"/>
                <w:szCs w:val="14"/>
                <w:b w:val="1"/>
                <w:bCs w:val="1"/>
                <w:color w:val="auto"/>
              </w:rPr>
              <w:t>April 29,</w:t>
            </w:r>
          </w:p>
        </w:tc>
        <w:tc>
          <w:tcPr>
            <w:tcW w:w="1460" w:type="dxa"/>
            <w:vAlign w:val="bottom"/>
            <w:tcBorders>
              <w:top w:val="single" w:sz="8" w:color="auto"/>
            </w:tcBorders>
          </w:tcPr>
          <w:p>
            <w:pPr>
              <w:jc w:val="right"/>
              <w:ind w:right="374"/>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Department</w:t>
            </w:r>
          </w:p>
        </w:tc>
        <w:tc>
          <w:tcPr>
            <w:tcW w:w="180" w:type="dxa"/>
            <w:vAlign w:val="bottom"/>
          </w:tcPr>
          <w:p>
            <w:pPr>
              <w:spacing w:after="0"/>
              <w:rPr>
                <w:sz w:val="16"/>
                <w:szCs w:val="16"/>
                <w:color w:val="auto"/>
              </w:rPr>
            </w:pPr>
          </w:p>
        </w:tc>
        <w:tc>
          <w:tcPr>
            <w:tcW w:w="4220" w:type="dxa"/>
            <w:vAlign w:val="bottom"/>
            <w:gridSpan w:val="2"/>
          </w:tcPr>
          <w:p>
            <w:pPr>
              <w:ind w:left="1480"/>
              <w:spacing w:after="0"/>
              <w:rPr>
                <w:sz w:val="20"/>
                <w:szCs w:val="20"/>
                <w:color w:val="auto"/>
              </w:rPr>
            </w:pPr>
            <w:r>
              <w:rPr>
                <w:rFonts w:ascii="Arial" w:cs="Arial" w:eastAsia="Arial" w:hAnsi="Arial"/>
                <w:sz w:val="14"/>
                <w:szCs w:val="14"/>
                <w:b w:val="1"/>
                <w:bCs w:val="1"/>
                <w:color w:val="auto"/>
              </w:rPr>
              <w:t>Product Offerings</w:t>
            </w: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Camping</w:t>
            </w:r>
          </w:p>
        </w:tc>
        <w:tc>
          <w:tcPr>
            <w:tcW w:w="180" w:type="dxa"/>
            <w:vAlign w:val="bottom"/>
            <w:shd w:val="clear" w:color="auto" w:fill="CFF0FC"/>
          </w:tcPr>
          <w:p>
            <w:pPr>
              <w:spacing w:after="0"/>
              <w:rPr>
                <w:sz w:val="18"/>
                <w:szCs w:val="18"/>
                <w:color w:val="auto"/>
              </w:rPr>
            </w:pPr>
          </w:p>
        </w:tc>
        <w:tc>
          <w:tcPr>
            <w:tcW w:w="4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Backpacks, camp essentials, canoes and kayaks,</w:t>
            </w:r>
          </w:p>
        </w:tc>
        <w:tc>
          <w:tcPr>
            <w:tcW w:w="1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coolers, outdoor cooking equipment, sleeping bags,</w:t>
            </w: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tents and tools</w:t>
            </w:r>
          </w:p>
        </w:tc>
        <w:tc>
          <w:tcPr>
            <w:tcW w:w="15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8.9 %</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8"/>
                <w:szCs w:val="18"/>
                <w:color w:val="auto"/>
              </w:rPr>
              <w:t>Apparel</w:t>
            </w:r>
          </w:p>
        </w:tc>
        <w:tc>
          <w:tcPr>
            <w:tcW w:w="1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Camouflage, jackets, hats, outerwear, sportswear,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technical gear and work wear</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7.0 %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2"/>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Fishing</w:t>
            </w:r>
          </w:p>
        </w:tc>
        <w:tc>
          <w:tcPr>
            <w:tcW w:w="180" w:type="dxa"/>
            <w:vAlign w:val="bottom"/>
            <w:shd w:val="clear" w:color="auto" w:fill="CFF0FC"/>
          </w:tcPr>
          <w:p>
            <w:pPr>
              <w:spacing w:after="0"/>
              <w:rPr>
                <w:sz w:val="19"/>
                <w:szCs w:val="19"/>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Bait, electronics, fishing rods, flotation items, fly</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fishing, lines, lures, reels, tackle and small boats</w:t>
            </w:r>
          </w:p>
        </w:tc>
        <w:tc>
          <w:tcPr>
            <w:tcW w:w="15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9.1 %</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8"/>
                <w:szCs w:val="18"/>
                <w:color w:val="auto"/>
              </w:rPr>
              <w:t>Footwear</w:t>
            </w:r>
          </w:p>
        </w:tc>
        <w:tc>
          <w:tcPr>
            <w:tcW w:w="1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w w:val="96"/>
              </w:rPr>
              <w:t>Hiking boots, socks, sport sandals, technical footwear,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trail shoes, casual shoes, waders and work boots</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6.7 %</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2"/>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Hunting and Shooting</w:t>
            </w:r>
          </w:p>
        </w:tc>
        <w:tc>
          <w:tcPr>
            <w:tcW w:w="180" w:type="dxa"/>
            <w:vAlign w:val="bottom"/>
            <w:shd w:val="clear" w:color="auto" w:fill="CFF0FC"/>
          </w:tcPr>
          <w:p>
            <w:pPr>
              <w:spacing w:after="0"/>
              <w:rPr>
                <w:sz w:val="19"/>
                <w:szCs w:val="19"/>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Ammunition, archery items, ATV accessories, blinds</w:t>
            </w: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5"/>
              </w:rPr>
              <w:t>and tree stands, decoys, firearms, reloading equipment</w:t>
            </w: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and shooting gear</w:t>
            </w:r>
          </w:p>
        </w:tc>
        <w:tc>
          <w:tcPr>
            <w:tcW w:w="15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63.2 %</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8"/>
                <w:szCs w:val="18"/>
                <w:color w:val="auto"/>
              </w:rPr>
              <w:t>Optics, Electronics, Accessories, and Other</w:t>
            </w:r>
          </w:p>
        </w:tc>
        <w:tc>
          <w:tcPr>
            <w:tcW w:w="1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w w:val="99"/>
              </w:rPr>
              <w:t>Gift items, GPS devices, knives, lighting, optics, two-</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w w:val="97"/>
              </w:rPr>
              <w:t>way radios, and other license revenue, net of revenue</w:t>
            </w:r>
          </w:p>
        </w:tc>
        <w:tc>
          <w:tcPr>
            <w:tcW w:w="15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5.1 %</w:t>
            </w: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discounts</w:t>
            </w:r>
          </w:p>
        </w:tc>
        <w:tc>
          <w:tcPr>
            <w:tcW w:w="1580" w:type="dxa"/>
            <w:vAlign w:val="bottom"/>
            <w:gridSpan w:val="3"/>
            <w:vMerge w:val="continue"/>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spacing w:after="0"/>
              <w:rPr>
                <w:sz w:val="21"/>
                <w:szCs w:val="21"/>
                <w:color w:val="auto"/>
              </w:rPr>
            </w:pPr>
          </w:p>
        </w:tc>
        <w:tc>
          <w:tcPr>
            <w:tcW w:w="4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7"/>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April 29, 2023 Compared to Thirteen Weeks Ended April 30, 2022</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Net Sales and Same Store Sales. </w:t>
      </w:r>
      <w:r>
        <w:rPr>
          <w:rFonts w:ascii="Arial" w:cs="Arial" w:eastAsia="Arial" w:hAnsi="Arial"/>
          <w:sz w:val="18"/>
          <w:szCs w:val="18"/>
          <w:color w:val="auto"/>
        </w:rPr>
        <w:t>Net sales decreased by $42.0 million, or 13.6%, to $267.5 million during the 13 weeks ended April 29, 2023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$309.5 million in the corresponding period of fiscal year 2022. Our net sales decreased primarily due to lower demand across all product categories resulting from extended winter conditions in the Western United States compared to the prior year leading to decreased outdoor participation and the continued impact of consumer inflationary pressures and recessionary concerns, partially offset by our opening of 11 new stores since April 30, 2022. Stores that have been open for less than 12 months and were, therefore, not included in our same store sales, contributed $15.5 million to net sales. E-commerce driven sales comprised more than 15% of total sales for the 13 weeks ended April 29, 2023. Same store sales decreased by 17.8% during the 13 weeks ended April 29, 2023 compared to the corresponding 13-week period of fiscal year 2022, primarily as a result of the same factors noted above for net sales.</w:t>
      </w:r>
    </w:p>
    <w:p>
      <w:pPr>
        <w:spacing w:after="0" w:line="21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Hunting and Shooting, Camping, Fishing, Optics, Electronics and Accessories, Apparel and Footwear departments saw net sales decreases of $17.7 million, $9.6 million, $7.6 million, $2.7 million, $2.6 million and $1.7 million, respectively, in the first quarter of fiscal year 2023 compared to the corresponding period of fiscal year 2022. Within our Hunting and Shooting department, our firearm and ammunition categories saw decreases of $1.6 million and $16.9 million or 1.9% and 27.1%, respectively, in the first quarter of fiscal year 2023 compared to the corresponding period of fiscal year 2022. The decrease in our ammunition category was primarily driven by a normalization of sales in this category during the first quarter of fiscal year 2023 compared to the pull forward of ammunition sales in the first quarter of fiscal year 2022 as we returned to normal in-stocks for ammunition during that period. This was partially offset by our opening of 11 new stores since April 30, 2022.</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respect to same store sales, during the 13 weeks ended April 29, 2023, our Camping, Fishing, Optics, Electronics and Accessories, Apparel, Hunting and Shooting and Footwear departments saw decreases of 31.6%, 28.9%, 20.9%, 16.3%, 13.8% and 12.2%, respectively, compared to the corresponding period of fiscal year 2022, as we continued to feel the impact of consumer inflationary pressures and recessionary concerns. As of April 29, 2023, we had 122 stores included in our same store sales calculation.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decreased by $19.1 million, or 19.3%, to $80.0 million during the 13 weeks ended April 29, 2023 compared to $99.1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corresponding period of fiscal year 2022. As a percentage of net sales, gross profit decreased to 29.9% during the 13 weeks ended April 29, 2023, compared to 32.0% for the corresponding period of fiscal year 2022, primarily driven by a reduction in sales mix in our Camping and Fishing departments, which carry a higher margin profile and lower comparable product margins, mainly in ammunition.</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increased by $2.9 million, or 3.0%, to $99.0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13 weeks ended April 29, 2023 from $96.1 million for the corresponding period of fiscal year 2022. This increase was primarily the result of increases in rent, depreciation and new store pre-opening expenses of $2.4 million, $1.4 million, and $1.3 million, respectively, during the 13 weeks ended April 29, 2023 primarily related to the opening of 11 new stores since April 30, 2022. Additionally, we incurred $1.1 million in expenses for employee retention bonuses after the retirement of our Chief Executive Officer, Jon Barker in April 2023, the engagement of a search firm to identify director candidates and candidates for Chief Executive Officer, and fees paid to a communications firm related to our recent board and management changes. These increases were offset by a $1.5 million decrease in each of other operating and payroll expenses. These decreases were primarily driven by reduced marketing expenses and increased operational efficiencies across our retail stores. As a percentage of net sales, selling, general, and administrative expenses increased to 37.0% of net sales in the first quarter of fiscal year 2023, compared to 31.0% of net sales in the first quarter of fiscal year 2022, as a result of the same factors that drove the increase in selling, general, and administrative expenses.</w:t>
      </w:r>
    </w:p>
    <w:p>
      <w:pPr>
        <w:spacing w:after="0" w:line="21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increased by $1.4 million, or 233.3%, to $2.0 million during the 13 weeks ended April 29, 2023 from $0.6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corresponding period of fiscal year 2022. Interest expense increased primarily as a result of increased borrowings on our revolving credit facility and higher interest rates during the first quarter of fiscal year 2023 compared to the corresponding period of fiscal year 2022.</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recognized an income tax benefit of $5.4 million during the 13 weeks ended April 29, 2023 compared to an income tax expense of $0.4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comparable 13-week period of fiscal year 2022. Our effective tax rates during the 13 weeks ended April 29, 2023 and April 30, 2022 were 25.5% and 18.1%, respectively. Our effective tax rate will generally differ from the U.S. Federal statutory rate of 21.0%, due to state taxes, permanent items, and discrete items relating to stock award deductions.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Due to the openings of hunting season across the country and consumer holiday buying patterns, net sales are typically higher in the third and fourth fiscal quarters than in the first and second fiscal quarters. We also incur additional expenses in the third and fourth fiscal quarters due to higher sales volume and increased staffing in our stores. We anticipate our net sales will continue to reflect this seasonal pattern.</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Weather conditions affect outdoor activities and the demand for related apparel and equipment. Customers’ demand for our products, and, therefore, our net sales, can be significantly impacted by weather patterns on a local, regional and national basis. For example, weather conditions have been a significant headwind for us in the first half of fiscal year 2023, especially in the western half of the United States. A combination of unusually high amounts of rain and snow is influencing the timing of the spring fishing and camping seasons, likely pushing these to later than normal.</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Uses and Sources of Cash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April 29, 2023, we had cash and cash equivalents of $3.0 million and working capital, consisting of current assets less current liabilities, of $100.0 million. As of January 28, 2023, we had cash and cash equivalents of $2.4 million and working capital, consisting of current assets less current liabilities, of $130.1 million.</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primary cash requirements are for seasonal working capital needs and capital expenditures related to opening and acquiring new store locations. For both the short-term and the long-term, our primary sources of cash are borrowings under our $350.0 million senior secured revolving credit facility, operating cash flows and short and long-term debt financings from other banks and financial institutions. We believe that our cash on hand, cash generated by operating activities and funds available under our revolving credit facility will be sufficient to finance our operating activities and meet our cash requirements for at least the next twelve months and beyond.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material cash requirements from known contractual and other obligations are primarily for opening and acquiring new store locations, along with our general operating expenses and other expenses discussed below.</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In the ordinary course of business, we enter into arrangements with vendors to purchase merchandise in advance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We or the vendor can generally terminate the purchase orders at any time. These purchase orders do not contain any termination payments or other penalties if cancelled. During fiscal 2021, we used cash to increase our inventory levels after the increased demand during the pandemic reduced our inventory. We returned to more historical levels of inventory purchases during fiscal 2022 and expect our inventory purchases will continue to stabilize in fiscal 2023.</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Operating Lease Obligations. </w:t>
      </w:r>
      <w:r>
        <w:rPr>
          <w:rFonts w:ascii="Arial" w:cs="Arial" w:eastAsia="Arial" w:hAnsi="Arial"/>
          <w:sz w:val="16"/>
          <w:szCs w:val="16"/>
          <w:color w:val="auto"/>
        </w:rPr>
        <w:t>Operating lease commitments consist principally of leases for our retail stores, corporate office and distribution center. Our</w:t>
      </w:r>
      <w:r>
        <w:rPr>
          <w:rFonts w:ascii="Arial" w:cs="Arial" w:eastAsia="Arial" w:hAnsi="Arial"/>
          <w:sz w:val="16"/>
          <w:szCs w:val="16"/>
          <w:i w:val="1"/>
          <w:iCs w:val="1"/>
          <w:color w:val="auto"/>
        </w:rPr>
        <w:t xml:space="preserve"> </w:t>
      </w:r>
      <w:r>
        <w:rPr>
          <w:rFonts w:ascii="Arial" w:cs="Arial" w:eastAsia="Arial" w:hAnsi="Arial"/>
          <w:sz w:val="16"/>
          <w:szCs w:val="16"/>
          <w:color w:val="auto"/>
        </w:rPr>
        <w:t>leases often include options which allow us to extend the terms beyond the initial lease term. Our expected operating lease payments for the remainder of fiscal year 2023 are $53.0 million and our total committed lease payments are $457.4 million as of April 29, 2023. Other operating lease obligations consist of distribution center equipment. See Note 6, “Leases” to our condensed consolidated financial statements included in this 10-Q.</w:t>
      </w:r>
    </w:p>
    <w:p>
      <w:pPr>
        <w:spacing w:after="0" w:line="15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For the 13 weeks ended April 29, 2023, we incurred approximately $19.6 million in capital expenditures, net of $3.2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tenant allowances, primarily related to the construction of new stores and the refurbishment of existing stores during the period. We expect capital expenditures, net of tenant allowances, between $48 million and $56 million for fiscal year 2023 (inclusive of amounts spent during the 13 weeks ended April 29, 2023) primarily to refurbish some of our existing stores and to open 15 new stores in fiscal year 2023.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Principal and Interest Payments. </w:t>
      </w:r>
      <w:r>
        <w:rPr>
          <w:rFonts w:ascii="Arial" w:cs="Arial" w:eastAsia="Arial" w:hAnsi="Arial"/>
          <w:sz w:val="16"/>
          <w:szCs w:val="16"/>
          <w:color w:val="auto"/>
        </w:rPr>
        <w:t>We maintain a $350.0 million revolving credit facility. As of April 29, 2023, $162.6 million was outstanding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Assuming no additional repayments or borrowings on our revolving credit facility after April 29, 2023 our interest payments would be approximately $7.7 million for the remainder of fiscal year 2023 based on the interest rate as of April 29, 2023. See below under “Indebtedness” for additional information regarding our revolving credit facility, including the interest rate applicable to any borrowing under such facility.</w:t>
      </w:r>
    </w:p>
    <w:p>
      <w:pPr>
        <w:spacing w:after="0" w:line="15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Share Repurchase Authorization</w:t>
      </w:r>
      <w:r>
        <w:rPr>
          <w:rFonts w:ascii="Arial" w:cs="Arial" w:eastAsia="Arial" w:hAnsi="Arial"/>
          <w:sz w:val="16"/>
          <w:szCs w:val="16"/>
          <w:color w:val="auto"/>
        </w:rPr>
        <w:t>. Our board of directors authorized a share repurchase program to provide for the repurchase of up to $75.0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our common stock during the period from March 31, 2022 to March 31, 2023. On March 15, 2023, our board of directors extended the term of the share repurchase program through March 31, 2024.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 any shares of our common stock under the share repurchase program and we may modify, suspend or discontinue it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any time. As of April 29, 2023, we had repurchased 6,895,209 shares of our common stock for $65.4 million, utilizing cash on hand and available borrowings under our revolving credit facility. In addition, as of April 29, 2023, $9.6 million remained available to us for repurchases of outstanding shares of our common stock pursuant to the share repurchase program.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are shown in the following table: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Thirteen Weeks Ended</w:t>
            </w:r>
          </w:p>
        </w:tc>
      </w:tr>
      <w:tr>
        <w:trPr>
          <w:trHeight w:val="160"/>
        </w:trPr>
        <w:tc>
          <w:tcPr>
            <w:tcW w:w="76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768"/>
              <w:spacing w:after="0" w:line="160" w:lineRule="exact"/>
              <w:rPr>
                <w:sz w:val="20"/>
                <w:szCs w:val="20"/>
                <w:color w:val="auto"/>
              </w:rPr>
            </w:pPr>
            <w:r>
              <w:rPr>
                <w:rFonts w:ascii="Arial" w:cs="Arial" w:eastAsia="Arial" w:hAnsi="Arial"/>
                <w:sz w:val="14"/>
                <w:szCs w:val="14"/>
                <w:b w:val="1"/>
                <w:bCs w:val="1"/>
                <w:color w:val="auto"/>
              </w:rPr>
              <w:t>April 29,</w:t>
            </w:r>
          </w:p>
        </w:tc>
        <w:tc>
          <w:tcPr>
            <w:tcW w:w="4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36"/>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9"/>
              </w:rPr>
              <w:t>thousands)</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(36,985 )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(16,843 )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20" w:type="dxa"/>
            <w:vAlign w:val="bottom"/>
          </w:tcPr>
          <w:p>
            <w:pPr>
              <w:spacing w:after="0"/>
              <w:rPr>
                <w:sz w:val="20"/>
                <w:szCs w:val="20"/>
                <w:color w:val="auto"/>
              </w:rPr>
            </w:pP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(22,757 )</w:t>
            </w:r>
          </w:p>
        </w:tc>
        <w:tc>
          <w:tcPr>
            <w:tcW w:w="4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(12,001 )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60,393</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29,531</w:t>
            </w:r>
          </w:p>
        </w:tc>
        <w:tc>
          <w:tcPr>
            <w:tcW w:w="140" w:type="dxa"/>
            <w:vAlign w:val="bottom"/>
            <w:shd w:val="clear" w:color="auto" w:fill="CFF0FC"/>
          </w:tcPr>
          <w:p>
            <w:pPr>
              <w:spacing w:after="0"/>
              <w:rPr>
                <w:sz w:val="21"/>
                <w:szCs w:val="2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57,705</w:t>
            </w:r>
          </w:p>
        </w:tc>
        <w:tc>
          <w:tcPr>
            <w:tcW w:w="140" w:type="dxa"/>
            <w:vAlign w:val="bottom"/>
          </w:tcPr>
          <w:p>
            <w:pPr>
              <w:spacing w:after="0"/>
              <w:rPr>
                <w:sz w:val="20"/>
                <w:szCs w:val="20"/>
                <w:color w:val="auto"/>
              </w:rPr>
            </w:pPr>
          </w:p>
        </w:tc>
      </w:tr>
    </w:tbl>
    <w:p>
      <w:pPr>
        <w:spacing w:after="0" w:line="25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Net cash used in operating activities was $37.0 million for the 13 weeks ended April 29, 2023, compared to net cash used in operating activities of $16.8 million for the corresponding period of fiscal year 2022, a change of approximately $20.2 million. The increase in our cash flows used in operating activities was primarily driven by increased inventory levels due to our addition of 11 new stores since April 30, 2022.</w:t>
      </w:r>
    </w:p>
    <w:p>
      <w:pPr>
        <w:spacing w:after="0" w:line="16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Net cash used in investing activities was $22.8 million for the 13 weeks ended April 29, 2023, compared to $12.0 million for the corresponding period of fiscal year 2022, an increase of approximately $10.8 million, which was primarily driven by capital expenditures related to the construction of new stores and the refurbishment of existing stores we incurred during the 13 weeks ended April 29, 2023.</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Net cash provided by financing activities was $60.4 million for the 13 weeks ended April 29, 2023, compared to net cash provided by financing activities of $29.5 million for the corresponding period of fiscal year 2022, a change of approximately $30.9 million. The increase in cash provided by financing activities was primarily the result of an increase in borrowings under our revolving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our $350.0 million revolving credit facility, with $162.6 million outstanding as of April 29, 2023. Borrowings under our revolving credit facility are subject to a borrowing base calculation. Our revolving credit facility is governed by an amended and restated credit agreement with a consortium of banks led by Wells Fargo Bank, National Association. As of April 29, 2023, we had $150.5 million available for borrowing, subject to certain borrowing base restrictions, and $2.0 million in stand-by commercial letters of credit.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Borrowings under the revolving credit facility bear interest based on either the base rate or Term SOFR, at our option, in each case plus an applicable margin. The base rate is the greatest of (1) the floor rate (as defined in the credit agreement as a rate of interest equal to 0.0%) (2) Wells Fargo’s prime rate,</w:t>
      </w:r>
    </w:p>
    <w:p>
      <w:pPr>
        <w:ind w:right="60" w:firstLine="8"/>
        <w:spacing w:after="0" w:line="295"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6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Holdings’ subsidiaries. The lien securing the obligations under the revolving credit facility is a first priority lien as to certain liquid assets, including cash, accounts receivable, deposit accounts and inventory.</w:t>
      </w:r>
    </w:p>
    <w:p>
      <w:pPr>
        <w:spacing w:after="0" w:line="17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contains customary events of default. As of April 29, 2023, we were in compliance with all covenants under the credit agreement governing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significant changes to our critical accounting estimates as described in “Part II, Item 7, Management’s Discussion and Analysis of Financial Condition and Results of Operations” of our Fiscal 2022 Form 10-K.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off balance sheet arrangements.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evaluating our business, we use Adjusted EBITDA and Adjusted EBITDA margin as supplemental measures of our operating performance. We define Adjusted EBITDA as net (loss) income plus interest expense, income tax (benefit) expense, depreciation and amortization, stock-based compensation expense, pre-opening expenses and director and officer transition costs. Net (loss) income is the most comparable GAAP financial measure to Adjusted EBITDA. Adjusted EBITDA excludes pre-opening expenses because we do not believe these expenses are indicative of the underlying operating performance of our stores. The amount and timing of pre-opening expenses are dependent on, among other things, the size of new stores opened and the number of new stores opened during any given period.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9"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may be defined differently by other companies, and, therefore, it may not be directly comparable to the results of other companies in our industry;</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 and</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income taxes or the cash requirements for any tax payments.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reconciliation of net income, to Adjusted EBITDA and a calculation of Adjusted EBITDA margin is set forth below for the periods presented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7"/>
          </w:tcPr>
          <w:p>
            <w:pPr>
              <w:ind w:left="740"/>
              <w:spacing w:after="0"/>
              <w:rPr>
                <w:sz w:val="20"/>
                <w:szCs w:val="20"/>
                <w:color w:val="auto"/>
              </w:rPr>
            </w:pPr>
            <w:r>
              <w:rPr>
                <w:rFonts w:ascii="Arial" w:cs="Arial" w:eastAsia="Arial" w:hAnsi="Arial"/>
                <w:sz w:val="14"/>
                <w:szCs w:val="14"/>
                <w:b w:val="1"/>
                <w:bCs w:val="1"/>
                <w:color w:val="auto"/>
              </w:rPr>
              <w:t>Thirteen Weeks Ended</w:t>
            </w:r>
          </w:p>
        </w:tc>
      </w:tr>
      <w:tr>
        <w:trPr>
          <w:trHeight w:val="160"/>
        </w:trPr>
        <w:tc>
          <w:tcPr>
            <w:tcW w:w="7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ind w:right="800"/>
              <w:spacing w:after="0" w:line="160" w:lineRule="exact"/>
              <w:rPr>
                <w:sz w:val="20"/>
                <w:szCs w:val="20"/>
                <w:color w:val="auto"/>
              </w:rPr>
            </w:pPr>
            <w:r>
              <w:rPr>
                <w:rFonts w:ascii="Arial" w:cs="Arial" w:eastAsia="Arial" w:hAnsi="Arial"/>
                <w:sz w:val="14"/>
                <w:szCs w:val="14"/>
                <w:b w:val="1"/>
                <w:bCs w:val="1"/>
                <w:color w:val="auto"/>
              </w:rPr>
              <w:t>April 29,</w:t>
            </w:r>
          </w:p>
        </w:tc>
        <w:tc>
          <w:tcPr>
            <w:tcW w:w="3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73"/>
              <w:spacing w:after="0" w:line="160" w:lineRule="exact"/>
              <w:rPr>
                <w:sz w:val="20"/>
                <w:szCs w:val="20"/>
                <w:color w:val="auto"/>
              </w:rPr>
            </w:pPr>
            <w:r>
              <w:rPr>
                <w:rFonts w:ascii="Arial" w:cs="Arial" w:eastAsia="Arial" w:hAnsi="Arial"/>
                <w:sz w:val="14"/>
                <w:szCs w:val="14"/>
                <w:b w:val="1"/>
                <w:bCs w:val="1"/>
                <w:color w:val="auto"/>
              </w:rPr>
              <w:t>April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7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(15,639 )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(5,367 )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(1)</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Pre-opening expenses (2)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 and officer transition costs (3)</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(5,558 )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12,948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267,529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28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(5.9 )%</w:t>
            </w:r>
          </w:p>
        </w:tc>
        <w:tc>
          <w:tcPr>
            <w:tcW w:w="3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20" w:type="dxa"/>
            <w:vAlign w:val="bottom"/>
          </w:tcPr>
          <w:p>
            <w:pPr>
              <w:spacing w:after="0"/>
              <w:rPr>
                <w:sz w:val="20"/>
                <w:szCs w:val="20"/>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 margin (4)</w:t>
            </w:r>
          </w:p>
        </w:tc>
        <w:tc>
          <w:tcPr>
            <w:tcW w:w="280" w:type="dxa"/>
            <w:vAlign w:val="bottom"/>
            <w:shd w:val="clear" w:color="auto" w:fill="CFF0FC"/>
          </w:tcPr>
          <w:p>
            <w:pPr>
              <w:spacing w:after="0"/>
              <w:rPr>
                <w:sz w:val="22"/>
                <w:szCs w:val="22"/>
                <w:color w:val="auto"/>
              </w:rPr>
            </w:pPr>
          </w:p>
        </w:tc>
        <w:tc>
          <w:tcPr>
            <w:tcW w:w="15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(2.1 )%</w:t>
            </w:r>
          </w:p>
        </w:tc>
        <w:tc>
          <w:tcPr>
            <w:tcW w:w="3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55" w:lineRule="exact"/>
        <w:rPr>
          <w:sz w:val="20"/>
          <w:szCs w:val="20"/>
          <w:color w:val="auto"/>
        </w:rPr>
      </w:pPr>
    </w:p>
    <w:p>
      <w:pPr>
        <w:jc w:val="both"/>
        <w:ind w:left="520" w:right="700" w:hanging="512"/>
        <w:spacing w:after="0" w:line="310" w:lineRule="auto"/>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Stock-based compensation expense represents non-cash expenses related to equity instruments granted to employees under the Sportsman's Warehouse Holdings, Inc. 2019 Performance Incentive Plan and the Sportsman's Warehouse Holdings, Inc. Employee Stock Purchase Plan.</w:t>
      </w:r>
    </w:p>
    <w:p>
      <w:pPr>
        <w:ind w:left="520" w:right="18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Pre-opening expenses include expenses incurred in the preparation and opening of a new store location, such as payroll, travel and supplies, but do not include the cost of the initial inventory or capital expenditures required to open a location.</w:t>
      </w:r>
    </w:p>
    <w:p>
      <w:pPr>
        <w:ind w:left="520" w:right="160" w:hanging="512"/>
        <w:spacing w:after="0" w:line="26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Expenses incurred relating to departure of directors and officers and the recruitment of directors and key members of our senior management team. For the 13 weeks ended April 29, 2023, we incurred $1.1 million in expenses for employee retention bonuses after the retirement of our Chief Executive Officer, Jon Barker, in April 2023, the engagement of a search firm to identify director candidates and candidates for Chief Executive Officer, and fees paid to a communications firm related to our recent board and management changes.</w:t>
      </w:r>
    </w:p>
    <w:p>
      <w:pPr>
        <w:ind w:left="520" w:right="300" w:hanging="512"/>
        <w:spacing w:after="0" w:line="26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calculate net income margin as net income divided by net sales and we define Adjusted EBITDA margin as Adjusted EBITDA divided by net sales.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principal exposure to market risk relates to changes in interest rates. Borrowings under our revolving credit facility carry a floating interest rate tied to Term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April 29, 2023, assuming the amount outstanding under our revolving credit facility would be outstanding for a full year, a 100 basis point increase in interest rates would have increased our interest expense by $1.7 million. We do not use derivative financial instruments for speculative or trading purposes. However, this does not preclude our adoption of specific hedging strategies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April 29, 2023.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in Effectiveness of Controls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13a-15(d) and 15d-15(d) under the Exchange Act) during the 13 weeks ended April 29, 2023 that have materially affected, or are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11, “Commitments and Contingencies” to our condensed consolidated financial statements for additional information,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2022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On March 24, 2022, we announced that our board of directors authorized a share repurchase program to allow for our repurchase of up to $75.0 million of outstanding shares of our common stock during the period from March 31, 2022 to March 31, 2023. On March 15, 2023, our board of directors extended the term of the share repurchase program through March 31, 2024. During the 13 weeks ended April 29, 2023 , we repurchased a total of 97,500 shares of our common stock for $0.7 million, utilizing cash on hand and our senior secured revolving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relating to the purchases of our common stock by us and any affiliated purchasers within the meaning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Rule 10b-18(a)(3) under the Exchange Act during the 13 weeks ended April 29, 2023 (dollars in thousands, except share and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Total # of Shares</w:t>
            </w:r>
          </w:p>
        </w:tc>
        <w:tc>
          <w:tcPr>
            <w:tcW w:w="2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Dollar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w:t>
            </w:r>
          </w:p>
        </w:tc>
        <w:tc>
          <w:tcPr>
            <w:tcW w:w="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5"/>
              </w:rPr>
              <w:t>Total # 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a Publicly</w:t>
            </w:r>
          </w:p>
        </w:tc>
        <w:tc>
          <w:tcPr>
            <w:tcW w:w="2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the Program</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29, 2023 to February 28, 2023</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February 29, 2023 to March 30, 2023</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March 31, 2023 to April 29, 2023</w:t>
            </w:r>
          </w:p>
        </w:tc>
        <w:tc>
          <w:tcPr>
            <w:tcW w:w="1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1"/>
              </w:rPr>
              <w:t>7.13</w:t>
            </w:r>
          </w:p>
        </w:tc>
        <w:tc>
          <w:tcPr>
            <w:tcW w:w="2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680"/>
              <w:spacing w:after="0"/>
              <w:rPr>
                <w:sz w:val="20"/>
                <w:szCs w:val="20"/>
                <w:color w:val="auto"/>
              </w:rPr>
            </w:pPr>
            <w:r>
              <w:rPr>
                <w:rFonts w:ascii="Arial" w:cs="Arial" w:eastAsia="Arial" w:hAnsi="Arial"/>
                <w:sz w:val="18"/>
                <w:szCs w:val="18"/>
                <w:color w:val="auto"/>
                <w:w w:val="91"/>
              </w:rPr>
              <w:t>7.13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-187960</wp:posOffset>
            </wp:positionV>
            <wp:extent cx="85725"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p>
      <w:pPr>
        <w:ind w:left="240"/>
        <w:spacing w:after="0"/>
        <w:tabs>
          <w:tab w:leader="none" w:pos="61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3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w:t>
      </w:r>
    </w:p>
    <w:p>
      <w:pPr>
        <w:spacing w:after="0" w:line="3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31.2*</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101.INS*</w:t>
      </w:r>
    </w:p>
    <w:p>
      <w:pPr>
        <w:spacing w:after="0" w:line="39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101.SCH*</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101.CAL*</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101.DEF*</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101.LAB*</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101.PRE*</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77"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Retention Agreement, dated April 27, 2023 (incorporated by reference to Exhibit 10.1 to the Company’s Current Report on Form 8-</w:t>
        </w:r>
      </w:hyperlink>
      <w:hyperlink r:id="rId183">
        <w:r>
          <w:rPr>
            <w:rFonts w:ascii="Arial" w:cs="Arial" w:eastAsia="Arial" w:hAnsi="Arial"/>
            <w:sz w:val="18"/>
            <w:szCs w:val="18"/>
            <w:u w:val="single" w:color="auto"/>
            <w:color w:val="0000FF"/>
          </w:rPr>
          <w:t>K filed on May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-302260</wp:posOffset>
            </wp:positionV>
            <wp:extent cx="7132320"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Sportsman’s Warehouse Holdings, Inc. Directors’ Compensation Policy (as amended March 14, 2023, effective June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-115570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-302260</wp:posOffset>
            </wp:positionV>
            <wp:extent cx="7132320" cy="291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-302260</wp:posOffset>
            </wp:positionV>
            <wp:extent cx="7132320" cy="291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-130175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160655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620"/>
            <w:col w:w="9460"/>
          </w:cols>
          <w:pgMar w:left="320" w:top="125" w:right="379" w:bottom="1440" w:gutter="0" w:footer="0" w:header="0"/>
          <w:type w:val="continuous"/>
        </w:sectPr>
      </w:pPr>
    </w:p>
    <w:p>
      <w:pPr>
        <w:spacing w:after="0" w:line="306" w:lineRule="exact"/>
        <w:rPr>
          <w:sz w:val="20"/>
          <w:szCs w:val="20"/>
          <w:color w:val="auto"/>
        </w:rPr>
      </w:pPr>
    </w:p>
    <w:p>
      <w:pPr>
        <w:ind w:left="360" w:hanging="339"/>
        <w:spacing w:after="0"/>
        <w:tabs>
          <w:tab w:leader="none" w:pos="3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SPORTSMAN’S WAREHOUSE HOLDINGS, INC.</w:t>
      </w:r>
    </w:p>
    <w:p>
      <w:pPr>
        <w:spacing w:after="0" w:line="283" w:lineRule="exact"/>
        <w:rPr>
          <w:sz w:val="20"/>
          <w:szCs w:val="20"/>
          <w:color w:val="auto"/>
        </w:rPr>
      </w:pPr>
    </w:p>
    <w:p>
      <w:pPr>
        <w:ind w:left="20"/>
        <w:spacing w:after="0"/>
        <w:tabs>
          <w:tab w:leader="none" w:pos="5620" w:val="left"/>
          <w:tab w:leader="none" w:pos="784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6"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Joseph P. Schneider</w:t>
      </w:r>
    </w:p>
    <w:p>
      <w:pPr>
        <w:spacing w:after="0" w:line="40" w:lineRule="exact"/>
        <w:rPr>
          <w:sz w:val="20"/>
          <w:szCs w:val="20"/>
          <w:color w:val="auto"/>
        </w:rPr>
      </w:pPr>
    </w:p>
    <w:p>
      <w:pPr>
        <w:jc w:val="center"/>
        <w:ind w:left="6080"/>
        <w:spacing w:after="0"/>
        <w:rPr>
          <w:sz w:val="20"/>
          <w:szCs w:val="20"/>
          <w:color w:val="auto"/>
        </w:rPr>
      </w:pPr>
      <w:r>
        <w:rPr>
          <w:rFonts w:ascii="Arial" w:cs="Arial" w:eastAsia="Arial" w:hAnsi="Arial"/>
          <w:sz w:val="18"/>
          <w:szCs w:val="18"/>
          <w:i w:val="1"/>
          <w:iCs w:val="1"/>
          <w:color w:val="auto"/>
        </w:rPr>
        <w:t>Interim President and Interim Chief Executive Officer</w:t>
      </w:r>
    </w:p>
    <w:p>
      <w:pPr>
        <w:spacing w:after="0" w:line="36" w:lineRule="exact"/>
        <w:rPr>
          <w:sz w:val="20"/>
          <w:szCs w:val="20"/>
          <w:color w:val="auto"/>
        </w:rPr>
      </w:pPr>
    </w:p>
    <w:p>
      <w:pPr>
        <w:jc w:val="cente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ind w:left="20"/>
        <w:spacing w:after="0"/>
        <w:tabs>
          <w:tab w:leader="none" w:pos="5620" w:val="left"/>
          <w:tab w:leader="none" w:pos="8180" w:val="left"/>
        </w:tabs>
        <w:rPr>
          <w:sz w:val="20"/>
          <w:szCs w:val="20"/>
          <w:color w:val="auto"/>
        </w:rPr>
      </w:pPr>
      <w:r>
        <w:rPr>
          <w:rFonts w:ascii="Arial" w:cs="Arial" w:eastAsia="Arial" w:hAnsi="Arial"/>
          <w:sz w:val="18"/>
          <w:szCs w:val="18"/>
          <w:color w:val="auto"/>
        </w:rPr>
        <w:t>Date: May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6"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Jeff White</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35" w:lineRule="exact"/>
        <w:rPr>
          <w:sz w:val="20"/>
          <w:szCs w:val="20"/>
          <w:color w:val="auto"/>
        </w:rPr>
      </w:pPr>
    </w:p>
    <w:p>
      <w:pPr>
        <w:ind w:left="70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DIRECTORS’ COMPENSATION POLICY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March 14, 2023, Effective June 7, 2023</w:t>
      </w:r>
    </w:p>
    <w:p>
      <w:pPr>
        <w:spacing w:after="0" w:line="22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Directors of Sportsman’s Warehouse Holdings, Inc., a Delaware corporation (the “Company”), who are not employed by the Company or one of its subsidiaries (“non-employee directors”) are entitled to the compensation set forth below for their service as a member of the Company’s Board of Directors (the “Board”). The Board has the right to amend this policy from time to time.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Cash Compensation</w:t>
            </w:r>
          </w:p>
        </w:tc>
        <w:tc>
          <w:tcPr>
            <w:tcW w:w="2460" w:type="dxa"/>
            <w:vAlign w:val="bottom"/>
          </w:tcPr>
          <w:p>
            <w:pPr>
              <w:spacing w:after="0"/>
              <w:rPr>
                <w:sz w:val="20"/>
                <w:szCs w:val="20"/>
                <w:color w:val="auto"/>
              </w:rPr>
            </w:pP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Annual Retainer</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8"/>
              </w:rPr>
              <w:t>$ 85,000</w:t>
            </w: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Additional Chair Retainer</w:t>
            </w:r>
          </w:p>
        </w:tc>
        <w:tc>
          <w:tcPr>
            <w:tcW w:w="2460" w:type="dxa"/>
            <w:vAlign w:val="bottom"/>
          </w:tcPr>
          <w:p>
            <w:pPr>
              <w:jc w:val="center"/>
              <w:ind w:left="1690"/>
              <w:spacing w:after="0"/>
              <w:rPr>
                <w:sz w:val="20"/>
                <w:szCs w:val="20"/>
                <w:color w:val="auto"/>
              </w:rPr>
            </w:pPr>
            <w:r>
              <w:rPr>
                <w:rFonts w:ascii="Arial" w:cs="Arial" w:eastAsia="Arial" w:hAnsi="Arial"/>
                <w:sz w:val="18"/>
                <w:szCs w:val="18"/>
                <w:color w:val="auto"/>
                <w:w w:val="90"/>
              </w:rPr>
              <w:t>$130,000</w:t>
            </w: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Additional Lead Independent Director Retainer</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9"/>
              </w:rPr>
              <w:t>$15,000</w:t>
            </w: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Additional Committee Chair Retainers:</w:t>
            </w:r>
          </w:p>
        </w:tc>
        <w:tc>
          <w:tcPr>
            <w:tcW w:w="2460" w:type="dxa"/>
            <w:vAlign w:val="bottom"/>
          </w:tcPr>
          <w:p>
            <w:pPr>
              <w:spacing w:after="0"/>
              <w:rPr>
                <w:sz w:val="21"/>
                <w:szCs w:val="21"/>
                <w:color w:val="auto"/>
              </w:rPr>
            </w:pPr>
          </w:p>
        </w:tc>
      </w:tr>
      <w:tr>
        <w:trPr>
          <w:trHeight w:val="243"/>
        </w:trPr>
        <w:tc>
          <w:tcPr>
            <w:tcW w:w="6020" w:type="dxa"/>
            <w:vAlign w:val="bottom"/>
          </w:tcPr>
          <w:p>
            <w:pPr>
              <w:ind w:left="840"/>
              <w:spacing w:after="0"/>
              <w:rPr>
                <w:sz w:val="20"/>
                <w:szCs w:val="20"/>
                <w:color w:val="auto"/>
              </w:rPr>
            </w:pPr>
            <w:r>
              <w:rPr>
                <w:rFonts w:ascii="Arial" w:cs="Arial" w:eastAsia="Arial" w:hAnsi="Arial"/>
                <w:sz w:val="18"/>
                <w:szCs w:val="18"/>
                <w:color w:val="auto"/>
              </w:rPr>
              <w:t>Audit Committee Chair</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9"/>
              </w:rPr>
              <w:t>$30,000</w:t>
            </w:r>
          </w:p>
        </w:tc>
      </w:tr>
      <w:tr>
        <w:trPr>
          <w:trHeight w:val="243"/>
        </w:trPr>
        <w:tc>
          <w:tcPr>
            <w:tcW w:w="6020" w:type="dxa"/>
            <w:vAlign w:val="bottom"/>
          </w:tcPr>
          <w:p>
            <w:pPr>
              <w:ind w:left="840"/>
              <w:spacing w:after="0"/>
              <w:rPr>
                <w:sz w:val="20"/>
                <w:szCs w:val="20"/>
                <w:color w:val="auto"/>
              </w:rPr>
            </w:pPr>
            <w:r>
              <w:rPr>
                <w:rFonts w:ascii="Arial" w:cs="Arial" w:eastAsia="Arial" w:hAnsi="Arial"/>
                <w:sz w:val="18"/>
                <w:szCs w:val="18"/>
                <w:color w:val="auto"/>
              </w:rPr>
              <w:t>Compensation Committee Chair</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9"/>
              </w:rPr>
              <w:t>$25,000</w:t>
            </w:r>
          </w:p>
        </w:tc>
      </w:tr>
      <w:tr>
        <w:trPr>
          <w:trHeight w:val="243"/>
        </w:trPr>
        <w:tc>
          <w:tcPr>
            <w:tcW w:w="6020" w:type="dxa"/>
            <w:vAlign w:val="bottom"/>
          </w:tcPr>
          <w:p>
            <w:pPr>
              <w:ind w:left="840"/>
              <w:spacing w:after="0"/>
              <w:rPr>
                <w:sz w:val="20"/>
                <w:szCs w:val="20"/>
                <w:color w:val="auto"/>
              </w:rPr>
            </w:pPr>
            <w:r>
              <w:rPr>
                <w:rFonts w:ascii="Arial" w:cs="Arial" w:eastAsia="Arial" w:hAnsi="Arial"/>
                <w:sz w:val="18"/>
                <w:szCs w:val="18"/>
                <w:color w:val="auto"/>
              </w:rPr>
              <w:t>Nominating and Governance Committee Chair</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9"/>
              </w:rPr>
              <w:t>$25,000</w:t>
            </w:r>
          </w:p>
        </w:tc>
      </w:tr>
      <w:tr>
        <w:trPr>
          <w:trHeight w:val="486"/>
        </w:trPr>
        <w:tc>
          <w:tcPr>
            <w:tcW w:w="6020" w:type="dxa"/>
            <w:vAlign w:val="bottom"/>
          </w:tcPr>
          <w:p>
            <w:pPr>
              <w:spacing w:after="0"/>
              <w:rPr>
                <w:sz w:val="20"/>
                <w:szCs w:val="20"/>
                <w:color w:val="auto"/>
              </w:rPr>
            </w:pPr>
            <w:r>
              <w:rPr>
                <w:rFonts w:ascii="Arial" w:cs="Arial" w:eastAsia="Arial" w:hAnsi="Arial"/>
                <w:sz w:val="18"/>
                <w:szCs w:val="18"/>
                <w:b w:val="1"/>
                <w:bCs w:val="1"/>
                <w:color w:val="auto"/>
              </w:rPr>
              <w:t>Equity Compensation</w:t>
            </w:r>
          </w:p>
        </w:tc>
        <w:tc>
          <w:tcPr>
            <w:tcW w:w="2460" w:type="dxa"/>
            <w:vAlign w:val="bottom"/>
          </w:tcPr>
          <w:p>
            <w:pPr>
              <w:spacing w:after="0"/>
              <w:rPr>
                <w:sz w:val="24"/>
                <w:szCs w:val="24"/>
                <w:color w:val="auto"/>
              </w:rPr>
            </w:pP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Annual Equity Award</w:t>
            </w:r>
          </w:p>
        </w:tc>
        <w:tc>
          <w:tcPr>
            <w:tcW w:w="2460" w:type="dxa"/>
            <w:vAlign w:val="bottom"/>
          </w:tcPr>
          <w:p>
            <w:pPr>
              <w:jc w:val="center"/>
              <w:ind w:left="1690"/>
              <w:spacing w:after="0"/>
              <w:rPr>
                <w:sz w:val="20"/>
                <w:szCs w:val="20"/>
                <w:color w:val="auto"/>
              </w:rPr>
            </w:pPr>
            <w:r>
              <w:rPr>
                <w:rFonts w:ascii="Arial" w:cs="Arial" w:eastAsia="Arial" w:hAnsi="Arial"/>
                <w:sz w:val="18"/>
                <w:szCs w:val="18"/>
                <w:color w:val="auto"/>
                <w:w w:val="90"/>
              </w:rPr>
              <w:t>$100,000</w:t>
            </w:r>
          </w:p>
        </w:tc>
      </w:tr>
      <w:tr>
        <w:trPr>
          <w:trHeight w:val="243"/>
        </w:trPr>
        <w:tc>
          <w:tcPr>
            <w:tcW w:w="6020" w:type="dxa"/>
            <w:vAlign w:val="bottom"/>
          </w:tcPr>
          <w:p>
            <w:pPr>
              <w:ind w:left="520"/>
              <w:spacing w:after="0"/>
              <w:rPr>
                <w:sz w:val="20"/>
                <w:szCs w:val="20"/>
                <w:color w:val="auto"/>
              </w:rPr>
            </w:pPr>
            <w:r>
              <w:rPr>
                <w:rFonts w:ascii="Arial" w:cs="Arial" w:eastAsia="Arial" w:hAnsi="Arial"/>
                <w:sz w:val="18"/>
                <w:szCs w:val="18"/>
                <w:color w:val="auto"/>
              </w:rPr>
              <w:t>Annual Chair Equity Award</w:t>
            </w:r>
          </w:p>
        </w:tc>
        <w:tc>
          <w:tcPr>
            <w:tcW w:w="2460" w:type="dxa"/>
            <w:vAlign w:val="bottom"/>
          </w:tcPr>
          <w:p>
            <w:pPr>
              <w:jc w:val="center"/>
              <w:ind w:left="1710"/>
              <w:spacing w:after="0"/>
              <w:rPr>
                <w:sz w:val="20"/>
                <w:szCs w:val="20"/>
                <w:color w:val="auto"/>
              </w:rPr>
            </w:pPr>
            <w:r>
              <w:rPr>
                <w:rFonts w:ascii="Arial" w:cs="Arial" w:eastAsia="Arial" w:hAnsi="Arial"/>
                <w:sz w:val="18"/>
                <w:szCs w:val="18"/>
                <w:color w:val="auto"/>
                <w:w w:val="87"/>
              </w:rPr>
              <w:t>$115,000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Compensation</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Each non-employee director will be entitled to a cash retainer while serving on the Board in the amount set forth above (the “Annual Retainer”). A non-employee director who serves as the Chair of the Board will be entitled to an additional cash retainer while serving in that position in the amount set forth above (the “Additional Chair Retainer”). A non-employee director who serves as the Lead Independent Director will be entitled to an additional cash retainer while serving in that position in the amount set forth above (the “Additional Lead Independent Director Retainer”); provided that, unless otherwise provided by the Board, an Additional Lead Independent Director Retainer shall not be paid if a non-employee director is then serving as Chair of the Board. A non-employee director who serves as the Chair of the Audit Committee, the Compensation Committee, or the Nominating and Governance Committee of the Board will be entitled to an additional cash retainer while serving in that position in the applicable amount set forth above (an “Additional Committee Chair Retainer”).</w:t>
      </w:r>
    </w:p>
    <w:p>
      <w:pPr>
        <w:spacing w:after="0" w:line="19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amounts of the Annual Retainer, Additional Chair Retainer, Additional Lead Independent Director Retainer and Additional Committee Chair Retainers reflected above are expressed as annualized amounts. These retainers will be paid in quarterly installments, in advance, with an installment payable promptly following the start of each fiscal quarter; provided that an installment will be pro-rated, based on calendar days, if a non-employee director commences service (or commences service in the corresponding position, as the case may be) after the start of the particular fiscal quarter.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Awards</w:t>
      </w:r>
    </w:p>
    <w:p>
      <w:pPr>
        <w:spacing w:after="0" w:line="229"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On the date of each annual meeting of the Company’s stockholders, each non-employee director in office immediately following such meeting will automatically be granted an award of restricted stock units (an “Annual RSU Award”) determined by dividing (1) the Annual Equity Award grant value set forth above (or, if a non-employee director is then serving as Chair of the Board, the Annual Chair Equity Award grant value set forth above in the case of the award to the non-employee director then serving as Chair of the Board) by (2) the per-share closing price (in regular trading) of the Company’s common stock on The Nasdaq Stock Market on the date of such annual meeting (or the most recent trading day on The Nasdaq Stock Market if such date is not a trading day), rounded down to the nearest whole unit. Each Annual RSU Award will vest in twelve (12) substantially equal installments, subject to the non-employee director’s continued service as a director through each vesting date, with the first installment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one month following the date of grant and an additional installment vesting on each monthly anniversary of the date of grant thereafter for the next eleven</w:t>
      </w:r>
    </w:p>
    <w:p>
      <w:pPr>
        <w:spacing w:after="0" w:line="46" w:lineRule="exact"/>
        <w:rPr>
          <w:sz w:val="20"/>
          <w:szCs w:val="20"/>
          <w:color w:val="auto"/>
        </w:rPr>
      </w:pPr>
    </w:p>
    <w:p>
      <w:pPr>
        <w:jc w:val="both"/>
        <w:ind w:firstLine="8"/>
        <w:spacing w:after="0" w:line="270"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months; provided, however, that the outstanding and unvested portion of the Annual RSU Award will vest in full immediately prior to the first to occur of (a) the first annual meeting of the Company’s stockholders for the year following the year of grant of the award should such annual meeting occur before the first annual anniversary of the date of grant or (b) a Change in Control of the Company (as Change in Control is defined in the form of award agreement approved by the Board to evidence such award). In the event that more than one annual meeting of the Company’s stockholders occurs during a given fiscal year, automatic Annual RSU Awards will be made only in connection with the first such meeting to occur in that year. If any Annual Meeting is adjourned to a later date, the grant and vesting will be triggered as of the date the Annual Meeting was initially scheduled.</w:t>
      </w:r>
    </w:p>
    <w:p>
      <w:pPr>
        <w:spacing w:after="0" w:line="17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For each new non-employee director appointed or elected to the Board other than on the date of an annual meeting of the Company’s stockholders, the Board has discretion to provide that the new non-employee director will be entitled to a pro-rata portion of the Annual RSU Award on such terms and conditions that the Board shall, in its discretion, establish at the time of any such new non-employee director’s initial appointment or election to the Board</w:t>
      </w:r>
    </w:p>
    <w:p>
      <w:pPr>
        <w:spacing w:after="0" w:line="14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Each Annual RSU Award will be made under and subject to the terms and conditions of the Company’s 2019 Performance Incentive Plan or any successor equity compensation plan approved by the Company’s stockholders and in effect at the time of grant (the “2019 Plan”), and will be evidenced by, and subject to the terms and conditions of, an award agreement in the form approved by the Board to evidence such type of grant pursuant to this policy (the “Form of Award Agreement”). To the extent then vested, restricted stock units will generally be paid in an equal number of shares of the Company’s common stock in accordance with the applicable Form of Award Agreement. Restricted stock unit awards granted under the 2019 Plan are generally forfeited as to the unvested portion of the award upon the non-employee director’s termination of service as a director for any reason.</w:t>
      </w:r>
    </w:p>
    <w:p>
      <w:pPr>
        <w:spacing w:after="0" w:line="16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Non-employee directors are entitled to receive dividend equivalents with respect to outstanding and unpaid restricted stock units granted pursuant to this policy. Dividend equivalents, if any, are paid in the form of a credit of additional restricted stock units under the 2019 Plan and are subject to the same vesting, payment and other provisions as the underlying restricted stock units.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foregoing general provisions are, in the case of a particular award, subject to the terms and conditions of the applicable Form of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 Reimbursement</w:t>
      </w:r>
    </w:p>
    <w:p>
      <w:pPr>
        <w:spacing w:after="0" w:line="22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All non-employee directors are entitled to reimbursement from the Company for their reasonable travel (including airfare and ground transportation), lodging and meal expenses incident to meetings of the Board or committees thereof or in connection with other Board related business. The Company will make reimbursement to a non-employee director promptly following submission by the non-employee director of reasonable written substantiation for the expenses (and, as required for purposes of Internal Revenue Code Section 409A, in all events not later than the end of the calendar year following the calendar year in which the related expense was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285102020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P. Schneider, certify that:</w:t>
      </w:r>
    </w:p>
    <w:p>
      <w:pPr>
        <w:spacing w:after="0" w:line="11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Sportsman’s Warehouse Holdings,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306" w:lineRule="exact"/>
        <w:rPr>
          <w:sz w:val="20"/>
          <w:szCs w:val="20"/>
          <w:color w:val="auto"/>
        </w:rPr>
      </w:pPr>
    </w:p>
    <w:p>
      <w:pPr>
        <w:jc w:val="center"/>
        <w:ind w:right="5260"/>
        <w:spacing w:after="0"/>
        <w:rPr>
          <w:sz w:val="20"/>
          <w:szCs w:val="20"/>
          <w:color w:val="auto"/>
        </w:rPr>
      </w:pPr>
      <w:r>
        <w:rPr>
          <w:rFonts w:ascii="Arial" w:cs="Arial" w:eastAsia="Arial" w:hAnsi="Arial"/>
          <w:sz w:val="18"/>
          <w:szCs w:val="18"/>
          <w:color w:val="auto"/>
        </w:rPr>
        <w:t>/s/ 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973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21" w:lineRule="exact"/>
        <w:rPr>
          <w:sz w:val="20"/>
          <w:szCs w:val="20"/>
          <w:color w:val="auto"/>
        </w:rPr>
      </w:pPr>
    </w:p>
    <w:p>
      <w:pPr>
        <w:jc w:val="center"/>
        <w:ind w:right="5260"/>
        <w:spacing w:after="0"/>
        <w:rPr>
          <w:sz w:val="20"/>
          <w:szCs w:val="20"/>
          <w:color w:val="auto"/>
        </w:rPr>
      </w:pPr>
      <w:r>
        <w:rPr>
          <w:rFonts w:ascii="Arial" w:cs="Arial" w:eastAsia="Arial" w:hAnsi="Arial"/>
          <w:sz w:val="14"/>
          <w:szCs w:val="14"/>
          <w:b w:val="1"/>
          <w:bCs w:val="1"/>
          <w:color w:val="auto"/>
        </w:rPr>
        <w:t>Joseph P. Schneider</w:t>
      </w:r>
    </w:p>
    <w:p>
      <w:pPr>
        <w:spacing w:after="0" w:line="25" w:lineRule="exact"/>
        <w:rPr>
          <w:sz w:val="20"/>
          <w:szCs w:val="20"/>
          <w:color w:val="auto"/>
        </w:rPr>
      </w:pPr>
    </w:p>
    <w:p>
      <w:pPr>
        <w:jc w:val="center"/>
        <w:ind w:right="5260"/>
        <w:spacing w:after="0"/>
        <w:rPr>
          <w:sz w:val="20"/>
          <w:szCs w:val="20"/>
          <w:color w:val="auto"/>
        </w:rPr>
      </w:pPr>
      <w:r>
        <w:rPr>
          <w:rFonts w:ascii="Arial" w:cs="Arial" w:eastAsia="Arial" w:hAnsi="Arial"/>
          <w:sz w:val="14"/>
          <w:szCs w:val="14"/>
          <w:i w:val="1"/>
          <w:iCs w:val="1"/>
          <w:color w:val="auto"/>
        </w:rPr>
        <w:t>Interim President and Interim Chief Executive Officer</w:t>
      </w:r>
    </w:p>
    <w:p>
      <w:pPr>
        <w:spacing w:after="0" w:line="15" w:lineRule="exact"/>
        <w:rPr>
          <w:sz w:val="20"/>
          <w:szCs w:val="20"/>
          <w:color w:val="auto"/>
        </w:rPr>
      </w:pPr>
    </w:p>
    <w:p>
      <w:pPr>
        <w:jc w:val="center"/>
        <w:ind w:right="5260"/>
        <w:spacing w:after="0"/>
        <w:rPr>
          <w:sz w:val="20"/>
          <w:szCs w:val="20"/>
          <w:color w:val="auto"/>
        </w:rPr>
      </w:pPr>
      <w:r>
        <w:rPr>
          <w:rFonts w:ascii="Arial" w:cs="Arial" w:eastAsia="Arial" w:hAnsi="Arial"/>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Sportsman’s Warehouse Holdings,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306"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01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Jeff White</w:t>
      </w:r>
    </w:p>
    <w:p>
      <w:pPr>
        <w:spacing w:after="0" w:line="2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Chief Financial Officer and Secretary</w:t>
      </w:r>
    </w:p>
    <w:p>
      <w:pPr>
        <w:spacing w:after="0" w:line="1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PURSUANT TO SECTION 906 OF THE</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connection with the Quarterly Report on Form 10-Q of Sportsman’s Warehouse Holdings, Inc. (the “Registrant”) for the fiscal quarter ended April 29, 2023, as filed with the Securities and Exchange Commission on the date hereof (the “Report”), Joseph P. Schneider, Interim President and Interim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6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306"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01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Joseph P. Schneider</w:t>
      </w:r>
    </w:p>
    <w:p>
      <w:pPr>
        <w:spacing w:after="0" w:line="2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Interim President and Interim Chief Executive Officer</w:t>
      </w:r>
    </w:p>
    <w:p>
      <w:pPr>
        <w:spacing w:after="0" w:line="1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306"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01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Jeff White</w:t>
      </w:r>
    </w:p>
    <w:p>
      <w:pPr>
        <w:spacing w:after="0" w:line="2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Chief Financial Officer and Secretary</w:t>
      </w:r>
    </w:p>
    <w:p>
      <w:pPr>
        <w:spacing w:after="0" w:line="1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1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183" Type="http://schemas.openxmlformats.org/officeDocument/2006/relationships/hyperlink" Target="https://www.sec.gov/Archives/edgar/data/1132105/000095017023016681/spw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2023-05-31T07:37:08Z</dcterms:created>
  <dcterms:modified xsi:type="dcterms:W3CDTF">2023-05-31T07:37:08Z</dcterms:modified>
</cp:coreProperties>
</file>