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2, 2026</w:t>
      </w:r>
    </w:p>
    <w:p>
      <w:pPr>
        <w:spacing w:after="0" w:line="11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150495</wp:posOffset>
            </wp:positionV>
            <wp:extent cx="19030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149860</wp:posOffset>
            </wp:positionV>
            <wp:extent cx="19030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Sportsman’s Warehouse Holdings,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154940</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19"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6"/>
          <w:szCs w:val="16"/>
          <w:b w:val="1"/>
          <w:bCs w:val="1"/>
          <w:color w:val="auto"/>
        </w:rPr>
        <w:t>39-1975614</w:t>
      </w:r>
    </w:p>
    <w:p>
      <w:pPr>
        <w:spacing w:after="0" w:line="28"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19"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546" w:right="339" w:bottom="1440" w:gutter="0" w:footer="0" w:header="0"/>
          <w:type w:val="continuous"/>
        </w:sectPr>
      </w:pP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Sportsman’s Warehouse Holdings,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1475 West 9000 South, Suite A, West Jordan, Utah 84088</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161290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type w:val="continuous"/>
        </w:sect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Sportsman’s Warehouse Holdings, Inc. Second Amended and Restated 2019 Performance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(Full title of the plan)</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Jennifer Fall Jung</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Financial Officer and Secretary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1475 West 9000 South, Suite 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West Jordan, Utah 84088</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(801) 566-6681</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John-Paul Motley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Logan Tiari</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350 South Grand Avenue, Suite 3200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Los Angeles, California 90071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(213) 561-3250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298450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46" w:right="339" w:bottom="1440" w:gutter="0" w:footer="0" w:header="0"/>
          <w:type w:val="continuous"/>
        </w:sectPr>
      </w:pPr>
    </w:p>
    <w:p>
      <w:pPr>
        <w:spacing w:after="0" w:line="6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70" w:lineRule="exact"/>
        <w:rPr>
          <w:sz w:val="24"/>
          <w:szCs w:val="24"/>
          <w:color w:val="auto"/>
        </w:rPr>
      </w:pPr>
    </w:p>
    <w:p>
      <w:pP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Smaller reporting company</w:t>
      </w:r>
    </w:p>
    <w:p>
      <w:pPr>
        <w:spacing w:after="0" w:line="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5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20" w:lineRule="exact"/>
        <w:rPr>
          <w:sz w:val="24"/>
          <w:szCs w:val="24"/>
          <w:color w:val="auto"/>
        </w:rPr>
      </w:pPr>
    </w:p>
    <w:p>
      <w:pPr>
        <w:sectPr>
          <w:pgSz w:w="11900" w:h="16838" w:orient="portrait"/>
          <w:cols w:equalWidth="0" w:num="3">
            <w:col w:w="4600" w:space="720"/>
            <w:col w:w="4880" w:space="720"/>
            <w:col w:w="320"/>
          </w:cols>
          <w:pgMar w:left="320" w:top="546" w:right="339" w:bottom="1440" w:gutter="0" w:footer="0" w:header="0"/>
          <w:type w:val="continuous"/>
        </w:sectPr>
      </w:pPr>
    </w:p>
    <w:p>
      <w:pPr>
        <w:spacing w:after="0" w:line="3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type w:val="continuous"/>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This Registration Statement on Form S-8 is being filed by Sportsman’s Warehouse Holdings, Inc.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to register an additional 1,928,000 shares of the Registrant’s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the Registrant’s Second Amended and Restated 2019 Performance Incentive Plan (as amended, the “</w:t>
      </w:r>
      <w:r>
        <w:rPr>
          <w:rFonts w:ascii="Times New Roman" w:cs="Times New Roman" w:eastAsia="Times New Roman" w:hAnsi="Times New Roman"/>
          <w:sz w:val="18"/>
          <w:szCs w:val="18"/>
          <w:b w:val="1"/>
          <w:bCs w:val="1"/>
          <w:i w:val="1"/>
          <w:iCs w:val="1"/>
          <w:color w:val="auto"/>
        </w:rPr>
        <w:t>2019 Plan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Registrant previously registered shares of its Common Stock for issuance under the 2019 Plan on Registration Statements on Form S-8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August 30, 2019 (File No. 333-233569) and June 5, 2024 (File No. 333-279974) and Post-Effective Amendments to Form S-8 filed with the Commission on August 30, 2019 (File No. 333-195338) and June 5, 2024 (File No. 333-275199) (collectively, the “</w:t>
      </w:r>
      <w:r>
        <w:rPr>
          <w:rFonts w:ascii="Times New Roman" w:cs="Times New Roman" w:eastAsia="Times New Roman" w:hAnsi="Times New Roman"/>
          <w:sz w:val="18"/>
          <w:szCs w:val="18"/>
          <w:b w:val="1"/>
          <w:bCs w:val="1"/>
          <w:i w:val="1"/>
          <w:iCs w:val="1"/>
          <w:color w:val="auto"/>
        </w:rPr>
        <w:t>Prior Registration Statements</w:t>
      </w:r>
      <w:r>
        <w:rPr>
          <w:rFonts w:ascii="Times New Roman" w:cs="Times New Roman" w:eastAsia="Times New Roman" w:hAnsi="Times New Roman"/>
          <w:sz w:val="18"/>
          <w:szCs w:val="18"/>
          <w:color w:val="auto"/>
        </w:rPr>
        <w:t>”). Pursuant to General Instruction E to Form S-8, the contents of the Prior Registration Statements are hereby incorporated into this Registration Statement by reference to the extent not modified or superseded hereby or by any subsequently filed document, which is incorporated by reference herein or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documents, which have been filed with the Commission, are incorporated by reference into this Registration Statement:</w:t>
      </w:r>
    </w:p>
    <w:p>
      <w:pPr>
        <w:spacing w:after="0" w:line="225" w:lineRule="exact"/>
        <w:rPr>
          <w:sz w:val="20"/>
          <w:szCs w:val="20"/>
          <w:color w:val="auto"/>
        </w:rPr>
      </w:pPr>
    </w:p>
    <w:p>
      <w:pPr>
        <w:ind w:left="1120" w:hanging="363"/>
        <w:spacing w:after="0"/>
        <w:tabs>
          <w:tab w:leader="none" w:pos="1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January 31, 2026, filed with the SEC on </w:t>
      </w:r>
      <w:hyperlink r:id="rId15">
        <w:r>
          <w:rPr>
            <w:rFonts w:ascii="Times New Roman" w:cs="Times New Roman" w:eastAsia="Times New Roman" w:hAnsi="Times New Roman"/>
            <w:sz w:val="18"/>
            <w:szCs w:val="18"/>
            <w:u w:val="single" w:color="auto"/>
            <w:color w:val="0000FF"/>
          </w:rPr>
          <w:t>March 31,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quarter ended May 2, 2026, filed with the SEC on </w:t>
      </w:r>
      <w:hyperlink r:id="rId16">
        <w:r>
          <w:rPr>
            <w:rFonts w:ascii="Times New Roman" w:cs="Times New Roman" w:eastAsia="Times New Roman" w:hAnsi="Times New Roman"/>
            <w:sz w:val="18"/>
            <w:szCs w:val="18"/>
            <w:u w:val="single" w:color="auto"/>
            <w:color w:val="0000FF"/>
          </w:rPr>
          <w:t>June 2,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60" w:right="40" w:hanging="3"/>
        <w:spacing w:after="0" w:line="266" w:lineRule="auto"/>
        <w:tabs>
          <w:tab w:leader="none" w:pos="1120"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information specifically incorporated by reference into the Registrant’s Annual Report on Form 10-K for the fiscal year ended January 31, 2026 from the Registrant’s Definitive Proxy Statement on Schedule 14A for its 2026 Annual Meeting of Stockholders (filed with the SEC on </w:t>
      </w:r>
      <w:hyperlink r:id="rId17">
        <w:r>
          <w:rPr>
            <w:rFonts w:ascii="Times New Roman" w:cs="Times New Roman" w:eastAsia="Times New Roman" w:hAnsi="Times New Roman"/>
            <w:sz w:val="18"/>
            <w:szCs w:val="18"/>
            <w:u w:val="single" w:color="auto"/>
            <w:color w:val="0000FF"/>
          </w:rPr>
          <w:t>April 14,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175" w:lineRule="exact"/>
        <w:rPr>
          <w:rFonts w:ascii="Times New Roman" w:cs="Times New Roman" w:eastAsia="Times New Roman" w:hAnsi="Times New Roman"/>
          <w:sz w:val="18"/>
          <w:szCs w:val="18"/>
          <w:color w:val="0000FF"/>
        </w:rPr>
      </w:pPr>
    </w:p>
    <w:p>
      <w:pPr>
        <w:jc w:val="both"/>
        <w:ind w:left="760" w:right="180" w:hanging="3"/>
        <w:spacing w:after="0" w:line="261" w:lineRule="auto"/>
        <w:tabs>
          <w:tab w:leader="none" w:pos="1120" w:val="left"/>
        </w:tabs>
        <w:numPr>
          <w:ilvl w:val="0"/>
          <w:numId w:val="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the description of the Registrant’s Common Stock that is contained in the Registrant’s Registration Statement on Form 8-A (File No. 001-</w:t>
      </w:r>
      <w:hyperlink r:id="rId18">
        <w:r>
          <w:rPr>
            <w:rFonts w:ascii="Times New Roman" w:cs="Times New Roman" w:eastAsia="Times New Roman" w:hAnsi="Times New Roman"/>
            <w:sz w:val="18"/>
            <w:szCs w:val="18"/>
            <w:color w:val="auto"/>
          </w:rPr>
          <w:t>36401), filed with the Commission under Section 12(b)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u w:val="single" w:color="auto"/>
            <w:color w:val="0000FF"/>
          </w:rPr>
          <w:t>April 7,</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2014</w:t>
        </w:r>
        <w:r>
          <w:rPr>
            <w:rFonts w:ascii="Times New Roman" w:cs="Times New Roman" w:eastAsia="Times New Roman" w:hAnsi="Times New Roman"/>
            <w:sz w:val="18"/>
            <w:szCs w:val="18"/>
            <w:color w:val="000000"/>
          </w:rPr>
          <w:t>, as updated by the description of the Registrant’s common stock contained in the Company’s Annual Report on Form 10-K for the year</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ended February 3, 2024, filed with the SEC on </w:t>
      </w:r>
      <w:hyperlink r:id="rId19">
        <w:r>
          <w:rPr>
            <w:rFonts w:ascii="Times New Roman" w:cs="Times New Roman" w:eastAsia="Times New Roman" w:hAnsi="Times New Roman"/>
            <w:sz w:val="18"/>
            <w:szCs w:val="18"/>
            <w:u w:val="single" w:color="auto"/>
            <w:color w:val="0000FF"/>
          </w:rPr>
          <w:t>April 4, 2024</w:t>
        </w:r>
      </w:hyperlink>
      <w:r>
        <w:rPr>
          <w:rFonts w:ascii="Times New Roman" w:cs="Times New Roman" w:eastAsia="Times New Roman" w:hAnsi="Times New Roman"/>
          <w:sz w:val="18"/>
          <w:szCs w:val="18"/>
          <w:color w:val="000000"/>
        </w:rPr>
        <w:t>.</w:t>
      </w:r>
    </w:p>
    <w:p>
      <w:pPr>
        <w:spacing w:after="0" w:line="180" w:lineRule="exact"/>
        <w:rPr>
          <w:rFonts w:ascii="Times New Roman" w:cs="Times New Roman" w:eastAsia="Times New Roman" w:hAnsi="Times New Roman"/>
          <w:sz w:val="18"/>
          <w:szCs w:val="18"/>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all documents filed by the Company with the Commission pursuant to Sections 13(a), 13(c), 14, and 15(d) of the Exchange Act (other than Current Reports on Form 8-K furnished pursuant to Item 2.02 or Item 7.01 of Form 8-K, including any exhibits included with such information that are related to such items), after the date of this Registration Statement and prior to the filing of a post-effective amendment that indicates that all securities offered hereby have been sold or that deregisters all securities then remaining unsold shall be deemed to be incorporated by reference herein and to be a part of this Registration Statement from the date of filing of such documents; provided, however, that documents or information deemed to have been furnished and not filed in accordance with the rules of the Commission shall not be deemed incorporated by reference into this Registration Statement.</w:t>
      </w:r>
    </w:p>
    <w:p>
      <w:pPr>
        <w:spacing w:after="0" w:line="187" w:lineRule="exact"/>
        <w:rPr>
          <w:rFonts w:ascii="Times New Roman" w:cs="Times New Roman" w:eastAsia="Times New Roman" w:hAnsi="Times New Roman"/>
          <w:sz w:val="18"/>
          <w:szCs w:val="18"/>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Any statement contained in the documents incorporated or deemed to be incorporated by reference in this Registration Statement shall be deemed to be modified, superseded, or replaced for purposes of this Registration Statement to the extent that a statement contained herein or in any other subsequently filed document which also is incorporated or deemed to be incorporated by reference in this Registration Statement modifies, supersedes, or replaces such statement. Any such statement so modified, superseded or replaced shall not be deemed, except as so modified, superseded or replaced, to constitute a part of this Registration Statement.</w:t>
      </w:r>
    </w:p>
    <w:p>
      <w:pPr>
        <w:spacing w:after="0" w:line="17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4" w:lineRule="exact"/>
        <w:rPr>
          <w:rFonts w:ascii="Times New Roman" w:cs="Times New Roman" w:eastAsia="Times New Roman" w:hAnsi="Times New Roman"/>
          <w:sz w:val="18"/>
          <w:szCs w:val="18"/>
          <w:color w:val="auto"/>
        </w:rPr>
      </w:pPr>
    </w:p>
    <w:tbl>
      <w:tblPr>
        <w:tblLayout w:type="fixed"/>
        <w:tblInd w:w="10" w:type="dxa"/>
        <w:tblCellMar>
          <w:top w:w="0" w:type="dxa"/>
          <w:left w:w="0" w:type="dxa"/>
          <w:bottom w:w="0" w:type="dxa"/>
          <w:right w:w="0" w:type="dxa"/>
        </w:tblCellMar>
      </w:tblPr>
      <w:tr>
        <w:trPr>
          <w:trHeight w:val="210"/>
        </w:trPr>
        <w:tc>
          <w:tcPr>
            <w:tcW w:w="11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10000" w:type="dxa"/>
            <w:vAlign w:val="bottom"/>
            <w:tcBorders>
              <w:top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5"/>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16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14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3"/>
                <w:szCs w:val="13"/>
                <w:color w:val="auto"/>
              </w:rPr>
            </w:pPr>
          </w:p>
        </w:tc>
        <w:tc>
          <w:tcPr>
            <w:tcW w:w="10000" w:type="dxa"/>
            <w:vAlign w:val="bottom"/>
            <w:tcBorders>
              <w:right w:val="single" w:sz="8" w:color="auto"/>
            </w:tcBorders>
            <w:gridSpan w:val="7"/>
          </w:tcPr>
          <w:p>
            <w:pPr>
              <w:spacing w:after="0" w:line="152" w:lineRule="exact"/>
              <w:rPr>
                <w:sz w:val="20"/>
                <w:szCs w:val="20"/>
                <w:color w:val="auto"/>
              </w:rPr>
            </w:pPr>
            <w:r>
              <w:rPr>
                <w:rFonts w:ascii="Times New Roman" w:cs="Times New Roman" w:eastAsia="Times New Roman" w:hAnsi="Times New Roman"/>
                <w:sz w:val="17"/>
                <w:szCs w:val="17"/>
                <w:color w:val="0000FF"/>
              </w:rPr>
              <w:t>Opinion of Cooley LLP</w:t>
            </w: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4"/>
                <w:szCs w:val="14"/>
                <w:color w:val="auto"/>
              </w:rPr>
            </w:pPr>
          </w:p>
        </w:tc>
        <w:tc>
          <w:tcPr>
            <w:tcW w:w="1000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Consent of Grant Thornton LLP, independent registered public accounting firm</w:t>
            </w:r>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4"/>
                <w:szCs w:val="14"/>
                <w:color w:val="auto"/>
              </w:rPr>
            </w:pPr>
          </w:p>
        </w:tc>
        <w:tc>
          <w:tcPr>
            <w:tcW w:w="1000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Consent of Cooley LLP (included in Exhibit 5.1)</w:t>
            </w: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11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w:t>
            </w: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88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Sportsman’s Warehouse Holdings, Inc.’s Second Amended and Restated 2019 Performance Incentive Plan (incorporated by reference to</w:t>
              </w:r>
            </w:hyperlink>
          </w:p>
        </w:tc>
        <w:tc>
          <w:tcPr>
            <w:tcW w:w="120" w:type="dxa"/>
            <w:vAlign w:val="bottom"/>
            <w:tcBorders>
              <w:right w:val="single" w:sz="8" w:color="auto"/>
            </w:tcBorders>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7"/>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Exhibit 99.1 to the Current Report on Form 8-K filed on May 28, 2026)</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16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10000" w:type="dxa"/>
            <w:vAlign w:val="bottom"/>
            <w:tcBorders>
              <w:right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Filing Fee Table</w:t>
            </w: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West Jordan, State of Utah, on June 2, 2026.</w:t>
      </w:r>
    </w:p>
    <w:p>
      <w:pPr>
        <w:spacing w:after="0" w:line="17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00" w:lineRule="exact"/>
        <w:rPr>
          <w:sz w:val="20"/>
          <w:szCs w:val="20"/>
          <w:color w:val="auto"/>
        </w:rPr>
      </w:pPr>
    </w:p>
    <w:p>
      <w:pPr>
        <w:spacing w:after="0" w:line="245" w:lineRule="exact"/>
        <w:rPr>
          <w:sz w:val="20"/>
          <w:szCs w:val="20"/>
          <w:color w:val="auto"/>
        </w:rPr>
      </w:pPr>
    </w:p>
    <w:tbl>
      <w:tblPr>
        <w:tblLayout w:type="fixed"/>
        <w:tblInd w:w="48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Fall Jung</w:t>
            </w:r>
          </w:p>
        </w:tc>
      </w:tr>
      <w:tr>
        <w:trPr>
          <w:trHeight w:val="191"/>
        </w:trPr>
        <w:tc>
          <w:tcPr>
            <w:tcW w:w="680" w:type="dxa"/>
            <w:vAlign w:val="bottom"/>
          </w:tcPr>
          <w:p>
            <w:pPr>
              <w:spacing w:after="0"/>
              <w:rPr>
                <w:sz w:val="16"/>
                <w:szCs w:val="16"/>
                <w:color w:val="auto"/>
              </w:rPr>
            </w:pPr>
          </w:p>
        </w:tc>
        <w:tc>
          <w:tcPr>
            <w:tcW w:w="5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Jennifer Fall Jung</w:t>
            </w:r>
          </w:p>
        </w:tc>
      </w:tr>
      <w:tr>
        <w:trPr>
          <w:trHeight w:val="234"/>
        </w:trPr>
        <w:tc>
          <w:tcPr>
            <w:tcW w:w="68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constitutes and appoints Paul Stone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Jennifer Fall Jung, and each one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60" w:type="dxa"/>
            <w:vAlign w:val="bottom"/>
          </w:tcPr>
          <w:p>
            <w:pPr>
              <w:spacing w:after="0"/>
              <w:rPr>
                <w:sz w:val="21"/>
                <w:szCs w:val="21"/>
                <w:color w:val="auto"/>
              </w:rPr>
            </w:pPr>
          </w:p>
        </w:tc>
        <w:tc>
          <w:tcPr>
            <w:tcW w:w="446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0" w:type="dxa"/>
            <w:vAlign w:val="bottom"/>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54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Stone</w:t>
            </w:r>
          </w:p>
        </w:tc>
        <w:tc>
          <w:tcPr>
            <w:tcW w:w="2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Stone</w:t>
            </w:r>
          </w:p>
        </w:tc>
        <w:tc>
          <w:tcPr>
            <w:tcW w:w="2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Fall Jung</w:t>
            </w:r>
          </w:p>
        </w:tc>
        <w:tc>
          <w:tcPr>
            <w:tcW w:w="2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2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189"/>
        </w:trPr>
        <w:tc>
          <w:tcPr>
            <w:tcW w:w="3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Jennifer Fall Jung</w:t>
            </w:r>
          </w:p>
        </w:tc>
        <w:tc>
          <w:tcPr>
            <w:tcW w:w="2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w:t>
            </w: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236"/>
        </w:trPr>
        <w:tc>
          <w:tcPr>
            <w:tcW w:w="3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McBee</w:t>
            </w:r>
          </w:p>
        </w:tc>
        <w:tc>
          <w:tcPr>
            <w:tcW w:w="2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and Director</w:t>
            </w:r>
          </w:p>
        </w:tc>
        <w:tc>
          <w:tcPr>
            <w:tcW w:w="2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McBee</w:t>
            </w:r>
          </w:p>
        </w:tc>
        <w:tc>
          <w:tcPr>
            <w:tcW w:w="2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Martha Bejar</w:t>
            </w:r>
          </w:p>
        </w:tc>
        <w:tc>
          <w:tcPr>
            <w:tcW w:w="2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Martha Bejar</w:t>
            </w:r>
          </w:p>
        </w:tc>
        <w:tc>
          <w:tcPr>
            <w:tcW w:w="2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Tucci</w:t>
            </w:r>
          </w:p>
        </w:tc>
        <w:tc>
          <w:tcPr>
            <w:tcW w:w="2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Tucci</w:t>
            </w:r>
          </w:p>
        </w:tc>
        <w:tc>
          <w:tcPr>
            <w:tcW w:w="2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Sansom</w:t>
            </w:r>
          </w:p>
        </w:tc>
        <w:tc>
          <w:tcPr>
            <w:tcW w:w="2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Sansom</w:t>
            </w:r>
          </w:p>
        </w:tc>
        <w:tc>
          <w:tcPr>
            <w:tcW w:w="2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1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Nancy Walsh</w:t>
            </w:r>
          </w:p>
        </w:tc>
        <w:tc>
          <w:tcPr>
            <w:tcW w:w="26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2026</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Walsh</w:t>
            </w:r>
          </w:p>
        </w:tc>
        <w:tc>
          <w:tcPr>
            <w:tcW w:w="2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128587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800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5.1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John-Paul Motley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+1 213 561 3250</w:t>
      </w:r>
    </w:p>
    <w:p>
      <w:pPr>
        <w:spacing w:after="0"/>
        <w:rPr>
          <w:sz w:val="20"/>
          <w:szCs w:val="20"/>
          <w:color w:val="auto"/>
        </w:rPr>
      </w:pPr>
      <w:r>
        <w:rPr>
          <w:rFonts w:ascii="Arial" w:cs="Arial" w:eastAsia="Arial" w:hAnsi="Arial"/>
          <w:sz w:val="18"/>
          <w:szCs w:val="18"/>
          <w:color w:val="auto"/>
        </w:rPr>
        <w:t>jpmotley@cooley.com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June 2,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Sportsman’s Warehouse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1475 West 9000 South, Suite A</w:t>
      </w:r>
    </w:p>
    <w:p>
      <w:pPr>
        <w:spacing w:after="0"/>
        <w:rPr>
          <w:sz w:val="20"/>
          <w:szCs w:val="20"/>
          <w:color w:val="auto"/>
        </w:rPr>
      </w:pPr>
      <w:r>
        <w:rPr>
          <w:rFonts w:ascii="Arial" w:cs="Arial" w:eastAsia="Arial" w:hAnsi="Arial"/>
          <w:sz w:val="18"/>
          <w:szCs w:val="18"/>
          <w:color w:val="auto"/>
        </w:rPr>
        <w:t>West Jordan, Utah 84088</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Registration Statement on Form S-8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2"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We have acted as counsel to Sportsman’s Warehouse Holdings,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the filing by the Company of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covering the offering of up to 1,928,000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its common stock, par value $0.01 per share, issuable pursuant to the Company’s Second Amended and Restated 2019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this opinion, we have examined and relied upon (a) the Registration Statement and the related prospectus, (b) the Company’s certificate of incorporation and bylaws, each as currently in effect, (c) the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opinion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316" w:lineRule="exact"/>
        <w:rPr>
          <w:sz w:val="20"/>
          <w:szCs w:val="20"/>
          <w:color w:val="auto"/>
        </w:rPr>
      </w:pPr>
    </w:p>
    <w:p>
      <w:pPr>
        <w:jc w:val="center"/>
        <w:ind w:right="-19"/>
        <w:spacing w:after="0"/>
        <w:tabs>
          <w:tab w:leader="none" w:pos="100" w:val="left"/>
          <w:tab w:leader="none" w:pos="100" w:val="left"/>
          <w:tab w:leader="none" w:pos="80" w:val="left"/>
          <w:tab w:leader="none" w:pos="80" w:val="left"/>
        </w:tabs>
        <w:rPr>
          <w:sz w:val="20"/>
          <w:szCs w:val="20"/>
          <w:color w:val="auto"/>
        </w:rPr>
      </w:pPr>
      <w:r>
        <w:rPr>
          <w:rFonts w:ascii="Arial" w:cs="Arial" w:eastAsia="Arial" w:hAnsi="Arial"/>
          <w:sz w:val="13"/>
          <w:szCs w:val="13"/>
          <w:color w:val="auto"/>
        </w:rPr>
        <w:t>Cooley LLP</w:t>
        <w:tab/>
        <w:t>350 S. Grand Avenue</w:t>
        <w:tab/>
        <w:t>Suite 3200</w:t>
        <w:tab/>
        <w:t>Los Angeles, CA</w:t>
      </w:r>
      <w:r>
        <w:rPr>
          <w:sz w:val="20"/>
          <w:szCs w:val="20"/>
          <w:color w:val="auto"/>
        </w:rPr>
        <w:tab/>
      </w:r>
      <w:r>
        <w:rPr>
          <w:rFonts w:ascii="Arial" w:cs="Arial" w:eastAsia="Arial" w:hAnsi="Arial"/>
          <w:sz w:val="12"/>
          <w:szCs w:val="12"/>
          <w:color w:val="auto"/>
        </w:rPr>
        <w:t>90071</w:t>
      </w:r>
    </w:p>
    <w:p>
      <w:pPr>
        <w:jc w:val="center"/>
        <w:spacing w:after="0"/>
        <w:rPr>
          <w:sz w:val="20"/>
          <w:szCs w:val="20"/>
          <w:color w:val="auto"/>
        </w:rPr>
      </w:pPr>
      <w:r>
        <w:rPr>
          <w:rFonts w:ascii="Arial" w:cs="Arial" w:eastAsia="Arial" w:hAnsi="Arial"/>
          <w:sz w:val="13"/>
          <w:szCs w:val="13"/>
          <w:color w:val="auto"/>
        </w:rPr>
        <w:t>t: +1 213 561 3250 f: +1 213 561 3244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128587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8006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Page 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ooley</w:t>
      </w:r>
      <w:r>
        <w:rPr>
          <w:rFonts w:ascii="Arial" w:cs="Arial" w:eastAsia="Arial" w:hAnsi="Arial"/>
          <w:sz w:val="18"/>
          <w:szCs w:val="18"/>
          <w:color w:val="auto"/>
        </w:rPr>
        <w:t xml:space="preserve"> LLP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8139"/>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John-Paul Motley</w:t>
      </w:r>
    </w:p>
    <w:p>
      <w:pPr>
        <w:spacing w:after="0" w:line="14" w:lineRule="exact"/>
        <w:rPr>
          <w:sz w:val="20"/>
          <w:szCs w:val="20"/>
          <w:color w:val="auto"/>
        </w:rPr>
      </w:pPr>
    </w:p>
    <w:p>
      <w:pPr>
        <w:jc w:val="right"/>
        <w:ind w:right="8139"/>
        <w:spacing w:after="0"/>
        <w:rPr>
          <w:sz w:val="20"/>
          <w:szCs w:val="20"/>
          <w:color w:val="auto"/>
        </w:rPr>
      </w:pPr>
      <w:r>
        <w:rPr>
          <w:rFonts w:ascii="Arial" w:cs="Arial" w:eastAsia="Arial" w:hAnsi="Arial"/>
          <w:sz w:val="18"/>
          <w:szCs w:val="18"/>
          <w:color w:val="auto"/>
        </w:rPr>
        <w:t>John-Paul Motley</w:t>
      </w:r>
    </w:p>
    <w:p>
      <w:pPr>
        <w:spacing w:after="0" w:line="327" w:lineRule="exact"/>
        <w:rPr>
          <w:sz w:val="20"/>
          <w:szCs w:val="20"/>
          <w:color w:val="auto"/>
        </w:rPr>
      </w:pPr>
    </w:p>
    <w:p>
      <w:pPr>
        <w:jc w:val="center"/>
        <w:ind w:right="-1120"/>
        <w:spacing w:after="0"/>
        <w:tabs>
          <w:tab w:leader="none" w:pos="100" w:val="left"/>
          <w:tab w:leader="none" w:pos="100" w:val="left"/>
          <w:tab w:leader="none" w:pos="80" w:val="left"/>
          <w:tab w:leader="none" w:pos="80" w:val="left"/>
        </w:tabs>
        <w:rPr>
          <w:sz w:val="20"/>
          <w:szCs w:val="20"/>
          <w:color w:val="auto"/>
        </w:rPr>
      </w:pPr>
      <w:r>
        <w:rPr>
          <w:rFonts w:ascii="Arial" w:cs="Arial" w:eastAsia="Arial" w:hAnsi="Arial"/>
          <w:sz w:val="13"/>
          <w:szCs w:val="13"/>
          <w:color w:val="auto"/>
        </w:rPr>
        <w:t>Cooley LLP</w:t>
        <w:tab/>
        <w:t>350 S. Grand Avenue</w:t>
        <w:tab/>
        <w:t>Suite 3200</w:t>
        <w:tab/>
        <w:t>Los Angeles, CA</w:t>
      </w:r>
      <w:r>
        <w:rPr>
          <w:sz w:val="20"/>
          <w:szCs w:val="20"/>
          <w:color w:val="auto"/>
        </w:rPr>
        <w:tab/>
      </w:r>
      <w:r>
        <w:rPr>
          <w:rFonts w:ascii="Arial" w:cs="Arial" w:eastAsia="Arial" w:hAnsi="Arial"/>
          <w:sz w:val="12"/>
          <w:szCs w:val="12"/>
          <w:color w:val="auto"/>
        </w:rPr>
        <w:t>90071</w:t>
      </w:r>
    </w:p>
    <w:p>
      <w:pPr>
        <w:jc w:val="center"/>
        <w:ind w:right="-1120"/>
        <w:spacing w:after="0"/>
        <w:rPr>
          <w:sz w:val="20"/>
          <w:szCs w:val="20"/>
          <w:color w:val="auto"/>
        </w:rPr>
      </w:pPr>
      <w:r>
        <w:rPr>
          <w:rFonts w:ascii="Arial" w:cs="Arial" w:eastAsia="Arial" w:hAnsi="Arial"/>
          <w:sz w:val="13"/>
          <w:szCs w:val="13"/>
          <w:color w:val="auto"/>
        </w:rPr>
        <w:t>t: +1 213 561 3250 f: +1 213 561 3244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have issued our reports dated March 31, 2026 with respect to the consolidated financial statements and internal control over financial reporting of Sportsman’s Warehouse Holdings, Inc. included in the Annual Report on Form 10-K for the year ended January 31, 2026, which are incorporated by reference in this Registration Statement. We consent to the incorporation by reference of the aforementioned reports in this Registration Statement.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1299210</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60"/>
          </w:cols>
          <w:pgMar w:left="1260" w:top="985" w:right="12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SPORTSMAN'S WAREHOUSE HOLDINGS, INC.</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Table 1: Newly Registered Securities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20" w:type="dxa"/>
            <w:vAlign w:val="bottom"/>
            <w:tcBorders>
              <w:top w:val="single" w:sz="8" w:color="auto"/>
              <w:left w:val="single" w:sz="8" w:color="auto"/>
              <w:right w:val="single" w:sz="8" w:color="auto"/>
            </w:tcBorders>
            <w:shd w:val="clear" w:color="auto" w:fill="9ADAF6"/>
          </w:tcPr>
          <w:p>
            <w:pPr>
              <w:spacing w:after="0"/>
              <w:rPr>
                <w:sz w:val="19"/>
                <w:szCs w:val="19"/>
                <w:color w:val="auto"/>
              </w:rPr>
            </w:pPr>
          </w:p>
        </w:tc>
        <w:tc>
          <w:tcPr>
            <w:tcW w:w="1100" w:type="dxa"/>
            <w:vAlign w:val="bottom"/>
            <w:tcBorders>
              <w:top w:val="single" w:sz="8" w:color="auto"/>
              <w:right w:val="single" w:sz="8" w:color="auto"/>
            </w:tcBorders>
            <w:shd w:val="clear" w:color="auto" w:fill="9ADAF6"/>
          </w:tcPr>
          <w:p>
            <w:pPr>
              <w:spacing w:after="0"/>
              <w:rPr>
                <w:sz w:val="19"/>
                <w:szCs w:val="19"/>
                <w:color w:val="auto"/>
              </w:rPr>
            </w:pPr>
          </w:p>
        </w:tc>
        <w:tc>
          <w:tcPr>
            <w:tcW w:w="1160" w:type="dxa"/>
            <w:vAlign w:val="bottom"/>
            <w:tcBorders>
              <w:top w:val="single" w:sz="8" w:color="auto"/>
              <w:right w:val="single" w:sz="8" w:color="auto"/>
            </w:tcBorders>
            <w:shd w:val="clear" w:color="auto" w:fill="9ADAF6"/>
          </w:tcPr>
          <w:p>
            <w:pPr>
              <w:spacing w:after="0"/>
              <w:rPr>
                <w:sz w:val="19"/>
                <w:szCs w:val="19"/>
                <w:color w:val="auto"/>
              </w:rPr>
            </w:pPr>
          </w:p>
        </w:tc>
        <w:tc>
          <w:tcPr>
            <w:tcW w:w="1440" w:type="dxa"/>
            <w:vAlign w:val="bottom"/>
            <w:tcBorders>
              <w:top w:val="single" w:sz="8" w:color="auto"/>
              <w:right w:val="single" w:sz="8" w:color="auto"/>
            </w:tcBorders>
            <w:shd w:val="clear" w:color="auto" w:fill="9ADAF6"/>
          </w:tcPr>
          <w:p>
            <w:pPr>
              <w:spacing w:after="0"/>
              <w:rPr>
                <w:sz w:val="19"/>
                <w:szCs w:val="19"/>
                <w:color w:val="auto"/>
              </w:rPr>
            </w:pPr>
          </w:p>
        </w:tc>
        <w:tc>
          <w:tcPr>
            <w:tcW w:w="1340" w:type="dxa"/>
            <w:vAlign w:val="bottom"/>
            <w:tcBorders>
              <w:top w:val="single" w:sz="8" w:color="auto"/>
              <w:right w:val="single" w:sz="8" w:color="auto"/>
            </w:tcBorders>
            <w:shd w:val="clear" w:color="auto" w:fill="9ADAF6"/>
          </w:tcPr>
          <w:p>
            <w:pPr>
              <w:spacing w:after="0"/>
              <w:rPr>
                <w:sz w:val="19"/>
                <w:szCs w:val="19"/>
                <w:color w:val="auto"/>
              </w:rPr>
            </w:pPr>
          </w:p>
        </w:tc>
        <w:tc>
          <w:tcPr>
            <w:tcW w:w="1320" w:type="dxa"/>
            <w:vAlign w:val="bottom"/>
            <w:tcBorders>
              <w:top w:val="single" w:sz="8" w:color="auto"/>
              <w:right w:val="single" w:sz="8" w:color="auto"/>
            </w:tcBorders>
            <w:shd w:val="clear" w:color="auto" w:fill="9ADAF6"/>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7"/>
              </w:rPr>
              <w:t>Proposed</w:t>
            </w:r>
          </w:p>
        </w:tc>
        <w:tc>
          <w:tcPr>
            <w:tcW w:w="1680" w:type="dxa"/>
            <w:vAlign w:val="bottom"/>
            <w:tcBorders>
              <w:top w:val="single" w:sz="8" w:color="auto"/>
              <w:right w:val="single" w:sz="8" w:color="auto"/>
            </w:tcBorders>
            <w:shd w:val="clear" w:color="auto" w:fill="9ADAF6"/>
          </w:tcPr>
          <w:p>
            <w:pPr>
              <w:spacing w:after="0"/>
              <w:rPr>
                <w:sz w:val="19"/>
                <w:szCs w:val="19"/>
                <w:color w:val="auto"/>
              </w:rPr>
            </w:pPr>
          </w:p>
        </w:tc>
        <w:tc>
          <w:tcPr>
            <w:tcW w:w="1280" w:type="dxa"/>
            <w:vAlign w:val="bottom"/>
            <w:tcBorders>
              <w:top w:val="single" w:sz="8" w:color="auto"/>
              <w:right w:val="single" w:sz="8" w:color="auto"/>
            </w:tcBorders>
            <w:shd w:val="clear" w:color="auto" w:fill="9ADAF6"/>
          </w:tcPr>
          <w:p>
            <w:pPr>
              <w:spacing w:after="0"/>
              <w:rPr>
                <w:sz w:val="19"/>
                <w:szCs w:val="19"/>
                <w:color w:val="auto"/>
              </w:rPr>
            </w:pPr>
          </w:p>
        </w:tc>
        <w:tc>
          <w:tcPr>
            <w:tcW w:w="1500" w:type="dxa"/>
            <w:vAlign w:val="bottom"/>
            <w:tcBorders>
              <w:top w:val="single" w:sz="8" w:color="auto"/>
              <w:right w:val="single" w:sz="8" w:color="auto"/>
            </w:tcBorders>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 w:type="dxa"/>
            <w:vAlign w:val="bottom"/>
            <w:tcBorders>
              <w:left w:val="single" w:sz="8" w:color="auto"/>
              <w:right w:val="single" w:sz="8" w:color="auto"/>
            </w:tcBorders>
            <w:shd w:val="clear" w:color="auto" w:fill="9ADAF6"/>
          </w:tcPr>
          <w:p>
            <w:pPr>
              <w:spacing w:after="0"/>
              <w:rPr>
                <w:sz w:val="21"/>
                <w:szCs w:val="21"/>
                <w:color w:val="auto"/>
              </w:rPr>
            </w:pPr>
          </w:p>
        </w:tc>
        <w:tc>
          <w:tcPr>
            <w:tcW w:w="1100" w:type="dxa"/>
            <w:vAlign w:val="bottom"/>
            <w:tcBorders>
              <w:right w:val="single" w:sz="8" w:color="auto"/>
            </w:tcBorders>
            <w:shd w:val="clear" w:color="auto" w:fill="9ADAF6"/>
          </w:tcPr>
          <w:p>
            <w:pPr>
              <w:spacing w:after="0"/>
              <w:rPr>
                <w:sz w:val="21"/>
                <w:szCs w:val="21"/>
                <w:color w:val="auto"/>
              </w:rPr>
            </w:pPr>
          </w:p>
        </w:tc>
        <w:tc>
          <w:tcPr>
            <w:tcW w:w="1160" w:type="dxa"/>
            <w:vAlign w:val="bottom"/>
            <w:tcBorders>
              <w:right w:val="single" w:sz="8" w:color="auto"/>
            </w:tcBorders>
            <w:shd w:val="clear" w:color="auto" w:fill="9ADAF6"/>
          </w:tcPr>
          <w:p>
            <w:pPr>
              <w:spacing w:after="0"/>
              <w:rPr>
                <w:sz w:val="21"/>
                <w:szCs w:val="21"/>
                <w:color w:val="auto"/>
              </w:rPr>
            </w:pPr>
          </w:p>
        </w:tc>
        <w:tc>
          <w:tcPr>
            <w:tcW w:w="1440" w:type="dxa"/>
            <w:vAlign w:val="bottom"/>
            <w:tcBorders>
              <w:right w:val="single" w:sz="8" w:color="auto"/>
            </w:tcBorders>
            <w:shd w:val="clear" w:color="auto" w:fill="9ADAF6"/>
          </w:tcPr>
          <w:p>
            <w:pPr>
              <w:spacing w:after="0"/>
              <w:rPr>
                <w:sz w:val="21"/>
                <w:szCs w:val="21"/>
                <w:color w:val="auto"/>
              </w:rPr>
            </w:pPr>
          </w:p>
        </w:tc>
        <w:tc>
          <w:tcPr>
            <w:tcW w:w="1340" w:type="dxa"/>
            <w:vAlign w:val="bottom"/>
            <w:tcBorders>
              <w:right w:val="single" w:sz="8" w:color="auto"/>
            </w:tcBorders>
            <w:shd w:val="clear" w:color="auto" w:fill="9ADAF6"/>
          </w:tcPr>
          <w:p>
            <w:pPr>
              <w:spacing w:after="0"/>
              <w:rPr>
                <w:sz w:val="21"/>
                <w:szCs w:val="21"/>
                <w:color w:val="auto"/>
              </w:rPr>
            </w:pPr>
          </w:p>
        </w:tc>
        <w:tc>
          <w:tcPr>
            <w:tcW w:w="1320" w:type="dxa"/>
            <w:vAlign w:val="bottom"/>
            <w:tcBorders>
              <w:right w:val="single" w:sz="8" w:color="auto"/>
            </w:tcBorders>
            <w:shd w:val="clear" w:color="auto" w:fill="9ADAF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Maximum</w:t>
            </w:r>
          </w:p>
        </w:tc>
        <w:tc>
          <w:tcPr>
            <w:tcW w:w="1680" w:type="dxa"/>
            <w:vAlign w:val="bottom"/>
            <w:tcBorders>
              <w:right w:val="single" w:sz="8" w:color="auto"/>
            </w:tcBorders>
            <w:shd w:val="clear" w:color="auto" w:fill="9ADAF6"/>
          </w:tcPr>
          <w:p>
            <w:pPr>
              <w:spacing w:after="0"/>
              <w:rPr>
                <w:sz w:val="21"/>
                <w:szCs w:val="21"/>
                <w:color w:val="auto"/>
              </w:rPr>
            </w:pPr>
          </w:p>
        </w:tc>
        <w:tc>
          <w:tcPr>
            <w:tcW w:w="1280" w:type="dxa"/>
            <w:vAlign w:val="bottom"/>
            <w:tcBorders>
              <w:right w:val="single" w:sz="8" w:color="auto"/>
            </w:tcBorders>
            <w:shd w:val="clear" w:color="auto" w:fill="9ADAF6"/>
          </w:tcPr>
          <w:p>
            <w:pPr>
              <w:spacing w:after="0"/>
              <w:rPr>
                <w:sz w:val="21"/>
                <w:szCs w:val="21"/>
                <w:color w:val="auto"/>
              </w:rPr>
            </w:pPr>
          </w:p>
        </w:tc>
        <w:tc>
          <w:tcPr>
            <w:tcW w:w="1500" w:type="dxa"/>
            <w:vAlign w:val="bottom"/>
            <w:tcBorders>
              <w:right w:val="single" w:sz="8" w:color="auto"/>
            </w:tcBorders>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Borders>
              <w:left w:val="single" w:sz="8" w:color="auto"/>
              <w:right w:val="single" w:sz="8" w:color="auto"/>
            </w:tcBorders>
            <w:shd w:val="clear" w:color="auto" w:fill="9ADAF6"/>
          </w:tcPr>
          <w:p>
            <w:pPr>
              <w:spacing w:after="0"/>
              <w:rPr>
                <w:sz w:val="21"/>
                <w:szCs w:val="21"/>
                <w:color w:val="auto"/>
              </w:rPr>
            </w:pPr>
          </w:p>
        </w:tc>
        <w:tc>
          <w:tcPr>
            <w:tcW w:w="1100" w:type="dxa"/>
            <w:vAlign w:val="bottom"/>
            <w:tcBorders>
              <w:right w:val="single" w:sz="8" w:color="auto"/>
            </w:tcBorders>
            <w:shd w:val="clear" w:color="auto" w:fill="9ADAF6"/>
          </w:tcPr>
          <w:p>
            <w:pPr>
              <w:spacing w:after="0"/>
              <w:rPr>
                <w:sz w:val="21"/>
                <w:szCs w:val="21"/>
                <w:color w:val="auto"/>
              </w:rPr>
            </w:pPr>
          </w:p>
        </w:tc>
        <w:tc>
          <w:tcPr>
            <w:tcW w:w="1160" w:type="dxa"/>
            <w:vAlign w:val="bottom"/>
            <w:tcBorders>
              <w:right w:val="single" w:sz="8" w:color="auto"/>
            </w:tcBorders>
            <w:shd w:val="clear" w:color="auto" w:fill="9ADAF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Security</w:t>
            </w:r>
          </w:p>
        </w:tc>
        <w:tc>
          <w:tcPr>
            <w:tcW w:w="1440" w:type="dxa"/>
            <w:vAlign w:val="bottom"/>
            <w:tcBorders>
              <w:right w:val="single" w:sz="8" w:color="auto"/>
            </w:tcBorders>
            <w:shd w:val="clear" w:color="auto" w:fill="9ADAF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Fee</w:t>
            </w:r>
          </w:p>
        </w:tc>
        <w:tc>
          <w:tcPr>
            <w:tcW w:w="1340" w:type="dxa"/>
            <w:vAlign w:val="bottom"/>
            <w:tcBorders>
              <w:right w:val="single" w:sz="8" w:color="auto"/>
            </w:tcBorders>
            <w:vMerge w:val="restart"/>
            <w:shd w:val="clear" w:color="auto" w:fill="9ADAF6"/>
          </w:tcPr>
          <w:p>
            <w:pPr>
              <w:jc w:val="right"/>
              <w:ind w:right="220"/>
              <w:spacing w:after="0"/>
              <w:rPr>
                <w:sz w:val="20"/>
                <w:szCs w:val="20"/>
                <w:color w:val="auto"/>
              </w:rPr>
            </w:pPr>
            <w:r>
              <w:rPr>
                <w:rFonts w:ascii="Times New Roman" w:cs="Times New Roman" w:eastAsia="Times New Roman" w:hAnsi="Times New Roman"/>
                <w:sz w:val="22"/>
                <w:szCs w:val="22"/>
                <w:b w:val="1"/>
                <w:bCs w:val="1"/>
                <w:color w:val="auto"/>
              </w:rPr>
              <w:t>Amount</w:t>
            </w:r>
          </w:p>
        </w:tc>
        <w:tc>
          <w:tcPr>
            <w:tcW w:w="1320" w:type="dxa"/>
            <w:vAlign w:val="bottom"/>
            <w:tcBorders>
              <w:right w:val="single" w:sz="8" w:color="auto"/>
            </w:tcBorders>
            <w:shd w:val="clear" w:color="auto" w:fill="9ADAF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Offering</w:t>
            </w:r>
          </w:p>
        </w:tc>
        <w:tc>
          <w:tcPr>
            <w:tcW w:w="1680" w:type="dxa"/>
            <w:vAlign w:val="bottom"/>
            <w:tcBorders>
              <w:right w:val="single" w:sz="8" w:color="auto"/>
            </w:tcBorders>
            <w:shd w:val="clear" w:color="auto" w:fill="9ADAF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Maximum</w:t>
            </w:r>
          </w:p>
        </w:tc>
        <w:tc>
          <w:tcPr>
            <w:tcW w:w="1280" w:type="dxa"/>
            <w:vAlign w:val="bottom"/>
            <w:tcBorders>
              <w:right w:val="single" w:sz="8" w:color="auto"/>
            </w:tcBorders>
            <w:shd w:val="clear" w:color="auto" w:fill="9ADAF6"/>
          </w:tcPr>
          <w:p>
            <w:pPr>
              <w:spacing w:after="0"/>
              <w:rPr>
                <w:sz w:val="21"/>
                <w:szCs w:val="21"/>
                <w:color w:val="auto"/>
              </w:rPr>
            </w:pPr>
          </w:p>
        </w:tc>
        <w:tc>
          <w:tcPr>
            <w:tcW w:w="1500" w:type="dxa"/>
            <w:vAlign w:val="bottom"/>
            <w:tcBorders>
              <w:right w:val="single" w:sz="8" w:color="auto"/>
            </w:tcBorders>
            <w:shd w:val="clear" w:color="auto" w:fill="9ADAF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60"/>
        </w:trPr>
        <w:tc>
          <w:tcPr>
            <w:tcW w:w="420" w:type="dxa"/>
            <w:vAlign w:val="bottom"/>
            <w:tcBorders>
              <w:left w:val="single" w:sz="8" w:color="auto"/>
              <w:right w:val="single" w:sz="8" w:color="auto"/>
            </w:tcBorders>
            <w:shd w:val="clear" w:color="auto" w:fill="9ADAF6"/>
          </w:tcPr>
          <w:p>
            <w:pPr>
              <w:spacing w:after="0"/>
              <w:rPr>
                <w:sz w:val="5"/>
                <w:szCs w:val="5"/>
                <w:color w:val="auto"/>
              </w:rPr>
            </w:pPr>
          </w:p>
        </w:tc>
        <w:tc>
          <w:tcPr>
            <w:tcW w:w="1100" w:type="dxa"/>
            <w:vAlign w:val="bottom"/>
            <w:tcBorders>
              <w:right w:val="single" w:sz="8" w:color="auto"/>
            </w:tcBorders>
            <w:vMerge w:val="restart"/>
            <w:shd w:val="clear" w:color="auto" w:fill="9ADAF6"/>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9"/>
              </w:rPr>
              <w:t>Security</w:t>
            </w:r>
          </w:p>
        </w:tc>
        <w:tc>
          <w:tcPr>
            <w:tcW w:w="1160" w:type="dxa"/>
            <w:vAlign w:val="bottom"/>
            <w:tcBorders>
              <w:right w:val="single" w:sz="8" w:color="auto"/>
            </w:tcBorders>
            <w:vMerge w:val="restart"/>
            <w:shd w:val="clear" w:color="auto" w:fill="9ADAF6"/>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440" w:type="dxa"/>
            <w:vAlign w:val="bottom"/>
            <w:tcBorders>
              <w:right w:val="single" w:sz="8" w:color="auto"/>
            </w:tcBorders>
            <w:vMerge w:val="restart"/>
            <w:shd w:val="clear" w:color="auto" w:fill="9ADAF6"/>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Calculation</w:t>
            </w:r>
          </w:p>
        </w:tc>
        <w:tc>
          <w:tcPr>
            <w:tcW w:w="1340" w:type="dxa"/>
            <w:vAlign w:val="bottom"/>
            <w:tcBorders>
              <w:right w:val="single" w:sz="8" w:color="auto"/>
            </w:tcBorders>
            <w:vMerge w:val="continue"/>
            <w:shd w:val="clear" w:color="auto" w:fill="9ADAF6"/>
          </w:tcPr>
          <w:p>
            <w:pPr>
              <w:spacing w:after="0"/>
              <w:rPr>
                <w:sz w:val="5"/>
                <w:szCs w:val="5"/>
                <w:color w:val="auto"/>
              </w:rPr>
            </w:pPr>
          </w:p>
        </w:tc>
        <w:tc>
          <w:tcPr>
            <w:tcW w:w="1320" w:type="dxa"/>
            <w:vAlign w:val="bottom"/>
            <w:tcBorders>
              <w:right w:val="single" w:sz="8" w:color="auto"/>
            </w:tcBorders>
            <w:vMerge w:val="restart"/>
            <w:shd w:val="clear" w:color="auto" w:fill="9ADAF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Price Per</w:t>
            </w:r>
          </w:p>
        </w:tc>
        <w:tc>
          <w:tcPr>
            <w:tcW w:w="1680" w:type="dxa"/>
            <w:vAlign w:val="bottom"/>
            <w:tcBorders>
              <w:right w:val="single" w:sz="8" w:color="auto"/>
            </w:tcBorders>
            <w:vMerge w:val="restart"/>
            <w:shd w:val="clear" w:color="auto" w:fill="9ADAF6"/>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Aggregate</w:t>
            </w:r>
          </w:p>
        </w:tc>
        <w:tc>
          <w:tcPr>
            <w:tcW w:w="1280" w:type="dxa"/>
            <w:vAlign w:val="bottom"/>
            <w:tcBorders>
              <w:right w:val="single" w:sz="8" w:color="auto"/>
            </w:tcBorders>
            <w:shd w:val="clear" w:color="auto" w:fill="9ADAF6"/>
          </w:tcPr>
          <w:p>
            <w:pPr>
              <w:spacing w:after="0"/>
              <w:rPr>
                <w:sz w:val="5"/>
                <w:szCs w:val="5"/>
                <w:color w:val="auto"/>
              </w:rPr>
            </w:pPr>
          </w:p>
        </w:tc>
        <w:tc>
          <w:tcPr>
            <w:tcW w:w="1500" w:type="dxa"/>
            <w:vAlign w:val="bottom"/>
            <w:tcBorders>
              <w:right w:val="single" w:sz="8" w:color="auto"/>
            </w:tcBorders>
            <w:vMerge w:val="restart"/>
            <w:shd w:val="clear" w:color="auto" w:fill="9ADAF6"/>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Registration</w:t>
            </w:r>
          </w:p>
        </w:tc>
        <w:tc>
          <w:tcPr>
            <w:tcW w:w="0" w:type="dxa"/>
            <w:vAlign w:val="bottom"/>
          </w:tcPr>
          <w:p>
            <w:pPr>
              <w:spacing w:after="0"/>
              <w:rPr>
                <w:sz w:val="1"/>
                <w:szCs w:val="1"/>
                <w:color w:val="auto"/>
              </w:rPr>
            </w:pPr>
          </w:p>
        </w:tc>
      </w:tr>
      <w:tr>
        <w:trPr>
          <w:trHeight w:val="241"/>
        </w:trPr>
        <w:tc>
          <w:tcPr>
            <w:tcW w:w="420" w:type="dxa"/>
            <w:vAlign w:val="bottom"/>
            <w:tcBorders>
              <w:left w:val="single" w:sz="8" w:color="auto"/>
              <w:right w:val="single" w:sz="8" w:color="auto"/>
            </w:tcBorders>
            <w:shd w:val="clear" w:color="auto" w:fill="9ADAF6"/>
          </w:tcPr>
          <w:p>
            <w:pPr>
              <w:spacing w:after="0"/>
              <w:rPr>
                <w:sz w:val="20"/>
                <w:szCs w:val="20"/>
                <w:color w:val="auto"/>
              </w:rPr>
            </w:pPr>
          </w:p>
        </w:tc>
        <w:tc>
          <w:tcPr>
            <w:tcW w:w="1100" w:type="dxa"/>
            <w:vAlign w:val="bottom"/>
            <w:tcBorders>
              <w:right w:val="single" w:sz="8" w:color="auto"/>
            </w:tcBorders>
            <w:vMerge w:val="continue"/>
            <w:shd w:val="clear" w:color="auto" w:fill="9ADAF6"/>
          </w:tcPr>
          <w:p>
            <w:pPr>
              <w:spacing w:after="0"/>
              <w:rPr>
                <w:sz w:val="20"/>
                <w:szCs w:val="20"/>
                <w:color w:val="auto"/>
              </w:rPr>
            </w:pPr>
          </w:p>
        </w:tc>
        <w:tc>
          <w:tcPr>
            <w:tcW w:w="1160" w:type="dxa"/>
            <w:vAlign w:val="bottom"/>
            <w:tcBorders>
              <w:right w:val="single" w:sz="8" w:color="auto"/>
            </w:tcBorders>
            <w:vMerge w:val="continue"/>
            <w:shd w:val="clear" w:color="auto" w:fill="9ADAF6"/>
          </w:tcPr>
          <w:p>
            <w:pPr>
              <w:spacing w:after="0"/>
              <w:rPr>
                <w:sz w:val="20"/>
                <w:szCs w:val="20"/>
                <w:color w:val="auto"/>
              </w:rPr>
            </w:pPr>
          </w:p>
        </w:tc>
        <w:tc>
          <w:tcPr>
            <w:tcW w:w="1440" w:type="dxa"/>
            <w:vAlign w:val="bottom"/>
            <w:tcBorders>
              <w:right w:val="single" w:sz="8" w:color="auto"/>
            </w:tcBorders>
            <w:vMerge w:val="continue"/>
            <w:shd w:val="clear" w:color="auto" w:fill="9ADAF6"/>
          </w:tcPr>
          <w:p>
            <w:pPr>
              <w:spacing w:after="0"/>
              <w:rPr>
                <w:sz w:val="20"/>
                <w:szCs w:val="20"/>
                <w:color w:val="auto"/>
              </w:rPr>
            </w:pPr>
          </w:p>
        </w:tc>
        <w:tc>
          <w:tcPr>
            <w:tcW w:w="1340" w:type="dxa"/>
            <w:vAlign w:val="bottom"/>
            <w:tcBorders>
              <w:right w:val="single" w:sz="8" w:color="auto"/>
            </w:tcBorders>
            <w:shd w:val="clear" w:color="auto" w:fill="9ADAF6"/>
          </w:tcPr>
          <w:p>
            <w:pPr>
              <w:jc w:val="right"/>
              <w:ind w:right="20"/>
              <w:spacing w:after="0" w:line="241" w:lineRule="exact"/>
              <w:rPr>
                <w:sz w:val="20"/>
                <w:szCs w:val="20"/>
                <w:color w:val="auto"/>
              </w:rPr>
            </w:pPr>
            <w:r>
              <w:rPr>
                <w:rFonts w:ascii="Times New Roman" w:cs="Times New Roman" w:eastAsia="Times New Roman" w:hAnsi="Times New Roman"/>
                <w:sz w:val="21"/>
                <w:szCs w:val="21"/>
                <w:b w:val="1"/>
                <w:bCs w:val="1"/>
                <w:color w:val="auto"/>
              </w:rPr>
              <w:t>Registered</w:t>
            </w:r>
            <w:r>
              <w:rPr>
                <w:rFonts w:ascii="Times New Roman" w:cs="Times New Roman" w:eastAsia="Times New Roman" w:hAnsi="Times New Roman"/>
                <w:sz w:val="27"/>
                <w:szCs w:val="27"/>
                <w:b w:val="1"/>
                <w:bCs w:val="1"/>
                <w:color w:val="auto"/>
                <w:vertAlign w:val="superscript"/>
              </w:rPr>
              <w:t>(1</w:t>
            </w:r>
          </w:p>
        </w:tc>
        <w:tc>
          <w:tcPr>
            <w:tcW w:w="1320" w:type="dxa"/>
            <w:vAlign w:val="bottom"/>
            <w:tcBorders>
              <w:right w:val="single" w:sz="8" w:color="auto"/>
            </w:tcBorders>
            <w:vMerge w:val="continue"/>
            <w:shd w:val="clear" w:color="auto" w:fill="9ADAF6"/>
          </w:tcPr>
          <w:p>
            <w:pPr>
              <w:spacing w:after="0"/>
              <w:rPr>
                <w:sz w:val="20"/>
                <w:szCs w:val="20"/>
                <w:color w:val="auto"/>
              </w:rPr>
            </w:pPr>
          </w:p>
        </w:tc>
        <w:tc>
          <w:tcPr>
            <w:tcW w:w="1680" w:type="dxa"/>
            <w:vAlign w:val="bottom"/>
            <w:tcBorders>
              <w:right w:val="single" w:sz="8" w:color="auto"/>
            </w:tcBorders>
            <w:vMerge w:val="continue"/>
            <w:shd w:val="clear" w:color="auto" w:fill="9ADAF6"/>
          </w:tcPr>
          <w:p>
            <w:pPr>
              <w:spacing w:after="0"/>
              <w:rPr>
                <w:sz w:val="20"/>
                <w:szCs w:val="20"/>
                <w:color w:val="auto"/>
              </w:rPr>
            </w:pPr>
          </w:p>
        </w:tc>
        <w:tc>
          <w:tcPr>
            <w:tcW w:w="1280" w:type="dxa"/>
            <w:vAlign w:val="bottom"/>
            <w:tcBorders>
              <w:right w:val="single" w:sz="8" w:color="auto"/>
            </w:tcBorders>
            <w:vMerge w:val="restart"/>
            <w:shd w:val="clear" w:color="auto" w:fill="9ADAF6"/>
          </w:tcPr>
          <w:p>
            <w:pPr>
              <w:ind w:left="220"/>
              <w:spacing w:after="0"/>
              <w:rPr>
                <w:sz w:val="20"/>
                <w:szCs w:val="20"/>
                <w:color w:val="auto"/>
              </w:rPr>
            </w:pPr>
            <w:r>
              <w:rPr>
                <w:rFonts w:ascii="Times New Roman" w:cs="Times New Roman" w:eastAsia="Times New Roman" w:hAnsi="Times New Roman"/>
                <w:sz w:val="22"/>
                <w:szCs w:val="22"/>
                <w:b w:val="1"/>
                <w:bCs w:val="1"/>
                <w:color w:val="auto"/>
              </w:rPr>
              <w:t>Fee Rate</w:t>
            </w:r>
          </w:p>
        </w:tc>
        <w:tc>
          <w:tcPr>
            <w:tcW w:w="1500" w:type="dxa"/>
            <w:vAlign w:val="bottom"/>
            <w:tcBorders>
              <w:right w:val="single" w:sz="8" w:color="auto"/>
            </w:tcBorders>
            <w:vMerge w:val="continue"/>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20" w:type="dxa"/>
            <w:vAlign w:val="bottom"/>
            <w:tcBorders>
              <w:left w:val="single" w:sz="8" w:color="auto"/>
              <w:bottom w:val="single" w:sz="8" w:color="auto"/>
              <w:right w:val="single" w:sz="8" w:color="auto"/>
            </w:tcBorders>
            <w:shd w:val="clear" w:color="auto" w:fill="9ADAF6"/>
          </w:tcPr>
          <w:p>
            <w:pPr>
              <w:spacing w:after="0"/>
              <w:rPr>
                <w:sz w:val="20"/>
                <w:szCs w:val="20"/>
                <w:color w:val="auto"/>
              </w:rPr>
            </w:pPr>
          </w:p>
        </w:tc>
        <w:tc>
          <w:tcPr>
            <w:tcW w:w="1100" w:type="dxa"/>
            <w:vAlign w:val="bottom"/>
            <w:tcBorders>
              <w:bottom w:val="single" w:sz="8" w:color="auto"/>
              <w:right w:val="single" w:sz="8" w:color="auto"/>
            </w:tcBorders>
            <w:shd w:val="clear" w:color="auto" w:fill="9ADAF6"/>
          </w:tcPr>
          <w:p>
            <w:pPr>
              <w:jc w:val="center"/>
              <w:spacing w:after="0" w:line="212" w:lineRule="exact"/>
              <w:rPr>
                <w:sz w:val="20"/>
                <w:szCs w:val="20"/>
                <w:color w:val="auto"/>
              </w:rPr>
            </w:pPr>
            <w:r>
              <w:rPr>
                <w:rFonts w:ascii="Times New Roman" w:cs="Times New Roman" w:eastAsia="Times New Roman" w:hAnsi="Times New Roman"/>
                <w:sz w:val="22"/>
                <w:szCs w:val="22"/>
                <w:b w:val="1"/>
                <w:bCs w:val="1"/>
                <w:color w:val="auto"/>
              </w:rPr>
              <w:t>Type</w:t>
            </w:r>
          </w:p>
        </w:tc>
        <w:tc>
          <w:tcPr>
            <w:tcW w:w="1160" w:type="dxa"/>
            <w:vAlign w:val="bottom"/>
            <w:tcBorders>
              <w:bottom w:val="single" w:sz="8" w:color="auto"/>
              <w:right w:val="single" w:sz="8" w:color="auto"/>
            </w:tcBorders>
            <w:shd w:val="clear" w:color="auto" w:fill="9ADAF6"/>
          </w:tcPr>
          <w:p>
            <w:pPr>
              <w:jc w:val="center"/>
              <w:spacing w:after="0" w:line="212" w:lineRule="exact"/>
              <w:rPr>
                <w:sz w:val="20"/>
                <w:szCs w:val="20"/>
                <w:color w:val="auto"/>
              </w:rPr>
            </w:pPr>
            <w:r>
              <w:rPr>
                <w:rFonts w:ascii="Times New Roman" w:cs="Times New Roman" w:eastAsia="Times New Roman" w:hAnsi="Times New Roman"/>
                <w:sz w:val="22"/>
                <w:szCs w:val="22"/>
                <w:b w:val="1"/>
                <w:bCs w:val="1"/>
                <w:color w:val="auto"/>
                <w:w w:val="99"/>
              </w:rPr>
              <w:t>Title</w:t>
            </w:r>
          </w:p>
        </w:tc>
        <w:tc>
          <w:tcPr>
            <w:tcW w:w="1440" w:type="dxa"/>
            <w:vAlign w:val="bottom"/>
            <w:tcBorders>
              <w:bottom w:val="single" w:sz="8" w:color="auto"/>
              <w:right w:val="single" w:sz="8" w:color="auto"/>
            </w:tcBorders>
            <w:shd w:val="clear" w:color="auto" w:fill="9ADAF6"/>
          </w:tcPr>
          <w:p>
            <w:pPr>
              <w:jc w:val="center"/>
              <w:spacing w:after="0" w:line="212" w:lineRule="exact"/>
              <w:rPr>
                <w:sz w:val="20"/>
                <w:szCs w:val="20"/>
                <w:color w:val="auto"/>
              </w:rPr>
            </w:pPr>
            <w:r>
              <w:rPr>
                <w:rFonts w:ascii="Times New Roman" w:cs="Times New Roman" w:eastAsia="Times New Roman" w:hAnsi="Times New Roman"/>
                <w:sz w:val="22"/>
                <w:szCs w:val="22"/>
                <w:b w:val="1"/>
                <w:bCs w:val="1"/>
                <w:color w:val="auto"/>
                <w:w w:val="99"/>
              </w:rPr>
              <w:t>Rule</w:t>
            </w:r>
          </w:p>
        </w:tc>
        <w:tc>
          <w:tcPr>
            <w:tcW w:w="1340" w:type="dxa"/>
            <w:vAlign w:val="bottom"/>
            <w:tcBorders>
              <w:bottom w:val="single" w:sz="8" w:color="auto"/>
              <w:right w:val="single" w:sz="8" w:color="auto"/>
            </w:tcBorders>
            <w:shd w:val="clear" w:color="auto" w:fill="9ADAF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right w:val="single" w:sz="8" w:color="auto"/>
            </w:tcBorders>
            <w:shd w:val="clear" w:color="auto" w:fill="9ADAF6"/>
          </w:tcPr>
          <w:p>
            <w:pPr>
              <w:jc w:val="center"/>
              <w:spacing w:after="0" w:line="212" w:lineRule="exact"/>
              <w:rPr>
                <w:sz w:val="20"/>
                <w:szCs w:val="20"/>
                <w:color w:val="auto"/>
              </w:rPr>
            </w:pPr>
            <w:r>
              <w:rPr>
                <w:rFonts w:ascii="Times New Roman" w:cs="Times New Roman" w:eastAsia="Times New Roman" w:hAnsi="Times New Roman"/>
                <w:sz w:val="22"/>
                <w:szCs w:val="22"/>
                <w:b w:val="1"/>
                <w:bCs w:val="1"/>
                <w:color w:val="auto"/>
              </w:rPr>
              <w:t>Unit</w:t>
            </w:r>
          </w:p>
        </w:tc>
        <w:tc>
          <w:tcPr>
            <w:tcW w:w="1680" w:type="dxa"/>
            <w:vAlign w:val="bottom"/>
            <w:tcBorders>
              <w:bottom w:val="single" w:sz="8" w:color="auto"/>
              <w:right w:val="single" w:sz="8" w:color="auto"/>
            </w:tcBorders>
            <w:shd w:val="clear" w:color="auto" w:fill="9ADAF6"/>
          </w:tcPr>
          <w:p>
            <w:pPr>
              <w:jc w:val="center"/>
              <w:spacing w:after="0" w:line="212" w:lineRule="exact"/>
              <w:rPr>
                <w:sz w:val="20"/>
                <w:szCs w:val="20"/>
                <w:color w:val="auto"/>
              </w:rPr>
            </w:pPr>
            <w:r>
              <w:rPr>
                <w:rFonts w:ascii="Times New Roman" w:cs="Times New Roman" w:eastAsia="Times New Roman" w:hAnsi="Times New Roman"/>
                <w:sz w:val="22"/>
                <w:szCs w:val="22"/>
                <w:b w:val="1"/>
                <w:bCs w:val="1"/>
                <w:color w:val="auto"/>
                <w:w w:val="99"/>
              </w:rPr>
              <w:t>Offering Price</w:t>
            </w:r>
          </w:p>
        </w:tc>
        <w:tc>
          <w:tcPr>
            <w:tcW w:w="1280" w:type="dxa"/>
            <w:vAlign w:val="bottom"/>
            <w:tcBorders>
              <w:bottom w:val="single" w:sz="8" w:color="auto"/>
              <w:right w:val="single" w:sz="8" w:color="auto"/>
            </w:tcBorders>
            <w:vMerge w:val="continue"/>
            <w:shd w:val="clear" w:color="auto" w:fill="9ADAF6"/>
          </w:tcPr>
          <w:p>
            <w:pPr>
              <w:spacing w:after="0"/>
              <w:rPr>
                <w:sz w:val="20"/>
                <w:szCs w:val="20"/>
                <w:color w:val="auto"/>
              </w:rPr>
            </w:pPr>
          </w:p>
        </w:tc>
        <w:tc>
          <w:tcPr>
            <w:tcW w:w="1500" w:type="dxa"/>
            <w:vAlign w:val="bottom"/>
            <w:tcBorders>
              <w:bottom w:val="single" w:sz="8" w:color="auto"/>
              <w:right w:val="single" w:sz="8" w:color="auto"/>
            </w:tcBorders>
            <w:shd w:val="clear" w:color="auto" w:fill="9ADAF6"/>
          </w:tcPr>
          <w:p>
            <w:pPr>
              <w:jc w:val="center"/>
              <w:spacing w:after="0" w:line="212" w:lineRule="exact"/>
              <w:rPr>
                <w:sz w:val="20"/>
                <w:szCs w:val="20"/>
                <w:color w:val="auto"/>
              </w:rPr>
            </w:pPr>
            <w:r>
              <w:rPr>
                <w:rFonts w:ascii="Times New Roman" w:cs="Times New Roman" w:eastAsia="Times New Roman" w:hAnsi="Times New Roman"/>
                <w:sz w:val="22"/>
                <w:szCs w:val="22"/>
                <w:b w:val="1"/>
                <w:bCs w:val="1"/>
                <w:color w:val="auto"/>
                <w:w w:val="96"/>
              </w:rPr>
              <w:t>Fee</w:t>
            </w: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22"/>
                <w:szCs w:val="22"/>
                <w:color w:val="auto"/>
              </w:rPr>
              <w:t>Common</w:t>
            </w:r>
          </w:p>
        </w:tc>
        <w:tc>
          <w:tcPr>
            <w:tcW w:w="144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Stock, par</w:t>
            </w:r>
          </w:p>
        </w:tc>
        <w:tc>
          <w:tcPr>
            <w:tcW w:w="1440" w:type="dxa"/>
            <w:vAlign w:val="bottom"/>
            <w:tcBorders>
              <w:right w:val="single" w:sz="8" w:color="auto"/>
            </w:tcBorders>
          </w:tcPr>
          <w:p>
            <w:pPr>
              <w:spacing w:after="0"/>
              <w:rPr>
                <w:sz w:val="21"/>
                <w:szCs w:val="21"/>
                <w:color w:val="auto"/>
              </w:rPr>
            </w:pPr>
          </w:p>
        </w:tc>
        <w:tc>
          <w:tcPr>
            <w:tcW w:w="13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1,928,000</w:t>
            </w:r>
            <w:r>
              <w:rPr>
                <w:rFonts w:ascii="Times New Roman" w:cs="Times New Roman" w:eastAsia="Times New Roman" w:hAnsi="Times New Roman"/>
                <w:sz w:val="28"/>
                <w:szCs w:val="28"/>
                <w:color w:val="auto"/>
                <w:vertAlign w:val="superscript"/>
              </w:rPr>
              <w:t>(2)</w:t>
            </w:r>
          </w:p>
        </w:tc>
        <w:tc>
          <w:tcPr>
            <w:tcW w:w="132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$1.32</w:t>
            </w:r>
            <w:r>
              <w:rPr>
                <w:rFonts w:ascii="Times New Roman" w:cs="Times New Roman" w:eastAsia="Times New Roman" w:hAnsi="Times New Roman"/>
                <w:sz w:val="28"/>
                <w:szCs w:val="28"/>
                <w:color w:val="auto"/>
                <w:vertAlign w:val="superscript"/>
              </w:rPr>
              <w:t>(3)</w:t>
            </w:r>
          </w:p>
        </w:tc>
        <w:tc>
          <w:tcPr>
            <w:tcW w:w="16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Borders>
              <w:left w:val="single" w:sz="8" w:color="auto"/>
              <w:right w:val="single" w:sz="8" w:color="auto"/>
            </w:tcBorders>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1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color w:val="auto"/>
              </w:rPr>
              <w:t>Equity</w:t>
            </w:r>
          </w:p>
        </w:tc>
        <w:tc>
          <w:tcPr>
            <w:tcW w:w="11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value</w:t>
            </w:r>
          </w:p>
        </w:tc>
        <w:tc>
          <w:tcPr>
            <w:tcW w:w="14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340" w:type="dxa"/>
            <w:vAlign w:val="bottom"/>
            <w:tcBorders>
              <w:right w:val="single" w:sz="8" w:color="auto"/>
            </w:tcBorders>
            <w:vMerge w:val="continue"/>
          </w:tcPr>
          <w:p>
            <w:pPr>
              <w:spacing w:after="0"/>
              <w:rPr>
                <w:sz w:val="21"/>
                <w:szCs w:val="21"/>
                <w:color w:val="auto"/>
              </w:rPr>
            </w:pPr>
          </w:p>
        </w:tc>
        <w:tc>
          <w:tcPr>
            <w:tcW w:w="1320" w:type="dxa"/>
            <w:vAlign w:val="bottom"/>
            <w:tcBorders>
              <w:right w:val="single" w:sz="8" w:color="auto"/>
            </w:tcBorders>
            <w:vMerge w:val="continue"/>
          </w:tcPr>
          <w:p>
            <w:pPr>
              <w:spacing w:after="0"/>
              <w:rPr>
                <w:sz w:val="21"/>
                <w:szCs w:val="21"/>
                <w:color w:val="auto"/>
              </w:rPr>
            </w:pPr>
          </w:p>
        </w:tc>
        <w:tc>
          <w:tcPr>
            <w:tcW w:w="168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$2,544,960</w:t>
            </w:r>
          </w:p>
        </w:tc>
        <w:tc>
          <w:tcPr>
            <w:tcW w:w="1280" w:type="dxa"/>
            <w:vAlign w:val="bottom"/>
            <w:tcBorders>
              <w:right w:val="single" w:sz="8" w:color="auto"/>
            </w:tcBorders>
          </w:tcPr>
          <w:p>
            <w:pPr>
              <w:ind w:left="240"/>
              <w:spacing w:after="0" w:line="243" w:lineRule="exact"/>
              <w:rPr>
                <w:sz w:val="20"/>
                <w:szCs w:val="20"/>
                <w:color w:val="auto"/>
              </w:rPr>
            </w:pPr>
            <w:r>
              <w:rPr>
                <w:rFonts w:ascii="Times New Roman" w:cs="Times New Roman" w:eastAsia="Times New Roman" w:hAnsi="Times New Roman"/>
                <w:sz w:val="22"/>
                <w:szCs w:val="22"/>
                <w:color w:val="auto"/>
              </w:rPr>
              <w:t>0.0001381</w:t>
            </w:r>
          </w:p>
        </w:tc>
        <w:tc>
          <w:tcPr>
            <w:tcW w:w="150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$351.46</w:t>
            </w:r>
          </w:p>
        </w:tc>
        <w:tc>
          <w:tcPr>
            <w:tcW w:w="0" w:type="dxa"/>
            <w:vAlign w:val="bottom"/>
          </w:tcPr>
          <w:p>
            <w:pPr>
              <w:spacing w:after="0"/>
              <w:rPr>
                <w:sz w:val="1"/>
                <w:szCs w:val="1"/>
                <w:color w:val="auto"/>
              </w:rPr>
            </w:pPr>
          </w:p>
        </w:tc>
      </w:tr>
      <w:tr>
        <w:trPr>
          <w:trHeight w:val="243"/>
        </w:trPr>
        <w:tc>
          <w:tcPr>
            <w:tcW w:w="42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$0.01 per</w:t>
            </w:r>
          </w:p>
        </w:tc>
        <w:tc>
          <w:tcPr>
            <w:tcW w:w="1440" w:type="dxa"/>
            <w:vAlign w:val="bottom"/>
            <w:tcBorders>
              <w:right w:val="single" w:sz="8" w:color="auto"/>
            </w:tcBorders>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0" w:type="dxa"/>
            <w:vAlign w:val="bottom"/>
            <w:tcBorders>
              <w:left w:val="single" w:sz="8" w:color="auto"/>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share</w:t>
            </w:r>
          </w:p>
        </w:tc>
        <w:tc>
          <w:tcPr>
            <w:tcW w:w="144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Total Offering Amounts:</w:t>
            </w:r>
          </w:p>
        </w:tc>
        <w:tc>
          <w:tcPr>
            <w:tcW w:w="1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$2,544,960</w:t>
            </w:r>
          </w:p>
        </w:tc>
        <w:tc>
          <w:tcPr>
            <w:tcW w:w="12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$351.46</w:t>
            </w:r>
          </w:p>
        </w:tc>
        <w:tc>
          <w:tcPr>
            <w:tcW w:w="0" w:type="dxa"/>
            <w:vAlign w:val="bottom"/>
          </w:tcPr>
          <w:p>
            <w:pPr>
              <w:spacing w:after="0"/>
              <w:rPr>
                <w:sz w:val="1"/>
                <w:szCs w:val="1"/>
                <w:color w:val="auto"/>
              </w:rPr>
            </w:pPr>
          </w:p>
        </w:tc>
      </w:tr>
      <w:tr>
        <w:trPr>
          <w:trHeight w:val="236"/>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Total Fee Offsets:</w:t>
            </w:r>
          </w:p>
        </w:tc>
        <w:tc>
          <w:tcPr>
            <w:tcW w:w="1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$ 0.00</w:t>
            </w:r>
          </w:p>
        </w:tc>
        <w:tc>
          <w:tcPr>
            <w:tcW w:w="0" w:type="dxa"/>
            <w:vAlign w:val="bottom"/>
          </w:tcPr>
          <w:p>
            <w:pPr>
              <w:spacing w:after="0"/>
              <w:rPr>
                <w:sz w:val="1"/>
                <w:szCs w:val="1"/>
                <w:color w:val="auto"/>
              </w:rPr>
            </w:pPr>
          </w:p>
        </w:tc>
      </w:tr>
      <w:tr>
        <w:trPr>
          <w:trHeight w:val="237"/>
        </w:trPr>
        <w:tc>
          <w:tcPr>
            <w:tcW w:w="420" w:type="dxa"/>
            <w:vAlign w:val="bottom"/>
            <w:tcBorders>
              <w:left w:val="single" w:sz="8" w:color="auto"/>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Net Fee Due:</w:t>
            </w:r>
          </w:p>
        </w:tc>
        <w:tc>
          <w:tcPr>
            <w:tcW w:w="132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$351.46</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Offering Note</w:t>
      </w:r>
    </w:p>
    <w:p>
      <w:pPr>
        <w:spacing w:after="0" w:line="224" w:lineRule="exact"/>
        <w:rPr>
          <w:sz w:val="20"/>
          <w:szCs w:val="20"/>
          <w:color w:val="auto"/>
        </w:rPr>
      </w:pPr>
    </w:p>
    <w:p>
      <w:pPr>
        <w:ind w:left="380" w:hanging="372"/>
        <w:spacing w:after="0" w:line="223" w:lineRule="auto"/>
        <w:tabs>
          <w:tab w:leader="none" w:pos="295" w:val="left"/>
        </w:tabs>
        <w:numPr>
          <w:ilvl w:val="0"/>
          <w:numId w:val="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(1) Pursuant to Rule 416(a) promulgated under the Securities Act of 1933, as amended, this registration statement shall also cover any additional shares of common stock of Sportsman’s Warehouse Holdings, Inc. (the “Registrant”) that become issuable under the Registrant’s Second Amended and Restated 2019 Performance Incentive Plan (the “2019 Plan”) set forth herein by reason of any stock dividend, stock split, recapitalization, or other similar transaction effected that results in an increase to the number of outstanding shares of the Registrant's common stock, as applicable.</w:t>
      </w:r>
    </w:p>
    <w:p>
      <w:pPr>
        <w:spacing w:after="0" w:line="180" w:lineRule="exact"/>
        <w:rPr>
          <w:rFonts w:ascii="Times New Roman" w:cs="Times New Roman" w:eastAsia="Times New Roman" w:hAnsi="Times New Roman"/>
          <w:sz w:val="29"/>
          <w:szCs w:val="29"/>
          <w:color w:val="auto"/>
          <w:vertAlign w:val="superscript"/>
        </w:rPr>
      </w:pPr>
    </w:p>
    <w:p>
      <w:pPr>
        <w:ind w:left="740" w:hanging="300"/>
        <w:spacing w:after="0"/>
        <w:tabs>
          <w:tab w:leader="none" w:pos="7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1,928,000 additional shares of common stock reserved for issuance under the 2019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 w:name="page9"/>
    <w:bookmarkEnd w:id="8"/>
    <w:p>
      <w:pPr>
        <w:jc w:val="both"/>
        <w:ind w:left="380" w:firstLine="60"/>
        <w:spacing w:after="0" w:line="244" w:lineRule="auto"/>
        <w:tabs>
          <w:tab w:leader="none" w:pos="75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Rule 457(h), the registration fee was computed based upon $1.32, which is the average of the high and low selling prices of the Registrant's common stock as reported on The Nasdaq Stock Market LLC on May 28, 2026, which date is within five business days prior to the filing of this registration statement.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36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w w:val="97"/>
              </w:rPr>
              <w:t>Table 2: Fee Offset Claims and Sources</w:t>
            </w:r>
          </w:p>
        </w:tc>
        <w:tc>
          <w:tcPr>
            <w:tcW w:w="2080" w:type="dxa"/>
            <w:vAlign w:val="bottom"/>
            <w:gridSpan w:val="3"/>
          </w:tcPr>
          <w:p>
            <w:pPr>
              <w:ind w:left="260"/>
              <w:spacing w:after="0" w:line="253" w:lineRule="exact"/>
              <w:rPr>
                <w:sz w:val="20"/>
                <w:szCs w:val="20"/>
                <w:color w:val="auto"/>
              </w:rPr>
            </w:pPr>
            <w:r>
              <w:rPr>
                <w:rFonts w:ascii="MS PGothic" w:cs="MS PGothic" w:eastAsia="MS PGothic" w:hAnsi="MS PGothic"/>
                <w:sz w:val="22"/>
                <w:szCs w:val="22"/>
                <w:color w:val="auto"/>
                <w:highlight w:val="black"/>
              </w:rPr>
              <w:t>☑</w:t>
            </w:r>
            <w:r>
              <w:rPr>
                <w:rFonts w:ascii="Times New Roman" w:cs="Times New Roman" w:eastAsia="Times New Roman" w:hAnsi="Times New Roman"/>
                <w:sz w:val="22"/>
                <w:szCs w:val="22"/>
                <w:b w:val="1"/>
                <w:bCs w:val="1"/>
                <w:color w:val="auto"/>
              </w:rPr>
              <w:t xml:space="preserve"> Not Applicable</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9"/>
        </w:trPr>
        <w:tc>
          <w:tcPr>
            <w:tcW w:w="1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50"/>
        </w:trPr>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Unsold</w:t>
            </w:r>
          </w:p>
        </w:tc>
        <w:tc>
          <w:tcPr>
            <w:tcW w:w="840" w:type="dxa"/>
            <w:vAlign w:val="bottom"/>
          </w:tcPr>
          <w:p>
            <w:pPr>
              <w:spacing w:after="0"/>
              <w:rPr>
                <w:sz w:val="13"/>
                <w:szCs w:val="13"/>
                <w:color w:val="auto"/>
              </w:rPr>
            </w:pP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8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980" w:type="dxa"/>
            <w:vAlign w:val="bottom"/>
          </w:tcPr>
          <w:p>
            <w:pPr>
              <w:spacing w:after="0"/>
              <w:rPr>
                <w:sz w:val="18"/>
                <w:szCs w:val="18"/>
                <w:color w:val="auto"/>
              </w:rPr>
            </w:pPr>
          </w:p>
        </w:tc>
        <w:tc>
          <w:tcPr>
            <w:tcW w:w="540" w:type="dxa"/>
            <w:vAlign w:val="bottom"/>
          </w:tcPr>
          <w:p>
            <w:pPr>
              <w:jc w:val="center"/>
              <w:ind w:right="27"/>
              <w:spacing w:after="0"/>
              <w:rPr>
                <w:sz w:val="20"/>
                <w:szCs w:val="20"/>
                <w:color w:val="auto"/>
              </w:rPr>
            </w:pPr>
            <w:r>
              <w:rPr>
                <w:rFonts w:ascii="Times New Roman" w:cs="Times New Roman" w:eastAsia="Times New Roman" w:hAnsi="Times New Roman"/>
                <w:sz w:val="18"/>
                <w:szCs w:val="18"/>
                <w:b w:val="1"/>
                <w:bCs w:val="1"/>
                <w:color w:val="auto"/>
                <w:w w:val="99"/>
              </w:rPr>
              <w:t>Initia</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Type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w:t>
            </w:r>
          </w:p>
        </w:tc>
      </w:tr>
      <w:tr>
        <w:trPr>
          <w:trHeight w:val="216"/>
        </w:trPr>
        <w:tc>
          <w:tcPr>
            <w:tcW w:w="1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 or</w:t>
            </w:r>
          </w:p>
        </w:tc>
        <w:tc>
          <w:tcPr>
            <w:tcW w:w="980" w:type="dxa"/>
            <w:vAlign w:val="bottom"/>
          </w:tcPr>
          <w:p>
            <w:pPr>
              <w:spacing w:after="0"/>
              <w:rPr>
                <w:sz w:val="18"/>
                <w:szCs w:val="18"/>
                <w:color w:val="auto"/>
              </w:rPr>
            </w:pPr>
          </w:p>
        </w:tc>
        <w:tc>
          <w:tcPr>
            <w:tcW w:w="5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l</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r>
      <w:tr>
        <w:trPr>
          <w:trHeight w:val="216"/>
        </w:trPr>
        <w:tc>
          <w:tcPr>
            <w:tcW w:w="1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 or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w:t>
            </w:r>
          </w:p>
        </w:tc>
        <w:tc>
          <w:tcPr>
            <w:tcW w:w="980" w:type="dxa"/>
            <w:vAlign w:val="bottom"/>
          </w:tcPr>
          <w:p>
            <w:pPr>
              <w:spacing w:after="0"/>
              <w:rPr>
                <w:sz w:val="18"/>
                <w:szCs w:val="18"/>
                <w:color w:val="auto"/>
              </w:rPr>
            </w:pPr>
          </w:p>
        </w:tc>
        <w:tc>
          <w:tcPr>
            <w:tcW w:w="540" w:type="dxa"/>
            <w:vAlign w:val="bottom"/>
          </w:tcPr>
          <w:p>
            <w:pPr>
              <w:jc w:val="center"/>
              <w:ind w:right="7"/>
              <w:spacing w:after="0"/>
              <w:rPr>
                <w:sz w:val="20"/>
                <w:szCs w:val="20"/>
                <w:color w:val="auto"/>
              </w:rPr>
            </w:pPr>
            <w:r>
              <w:rPr>
                <w:rFonts w:ascii="Times New Roman" w:cs="Times New Roman" w:eastAsia="Times New Roman" w:hAnsi="Times New Roman"/>
                <w:sz w:val="18"/>
                <w:szCs w:val="18"/>
                <w:b w:val="1"/>
                <w:bCs w:val="1"/>
                <w:color w:val="auto"/>
                <w:w w:val="99"/>
              </w:rPr>
              <w:t>Filin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 Fee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216"/>
        </w:trPr>
        <w:tc>
          <w:tcPr>
            <w:tcW w:w="12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Filer</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w:t>
            </w: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540" w:type="dxa"/>
            <w:vAlign w:val="bottom"/>
          </w:tcPr>
          <w:p>
            <w:pPr>
              <w:jc w:val="center"/>
              <w:ind w:right="67"/>
              <w:spacing w:after="0"/>
              <w:rPr>
                <w:sz w:val="20"/>
                <w:szCs w:val="20"/>
                <w:color w:val="auto"/>
              </w:rPr>
            </w:pPr>
            <w:r>
              <w:rPr>
                <w:rFonts w:ascii="Times New Roman" w:cs="Times New Roman" w:eastAsia="Times New Roman" w:hAnsi="Times New Roman"/>
                <w:sz w:val="18"/>
                <w:szCs w:val="18"/>
                <w:b w:val="1"/>
                <w:bCs w:val="1"/>
                <w:color w:val="auto"/>
              </w:rPr>
              <w:t>g</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Offset</w:t>
            </w:r>
          </w:p>
        </w:tc>
      </w:tr>
      <w:tr>
        <w:trPr>
          <w:trHeight w:val="238"/>
        </w:trPr>
        <w:tc>
          <w:tcPr>
            <w:tcW w:w="12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Type</w:t>
            </w: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40" w:type="dxa"/>
            <w:vAlign w:val="bottom"/>
          </w:tcPr>
          <w:p>
            <w:pPr>
              <w:jc w:val="center"/>
              <w:ind w:right="7"/>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Source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-1107440</wp:posOffset>
            </wp:positionV>
            <wp:extent cx="7134225" cy="1913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4225" cy="1913890"/>
                    </a:xfrm>
                    <a:prstGeom prst="rect">
                      <a:avLst/>
                    </a:prstGeom>
                    <a:noFill/>
                  </pic:spPr>
                </pic:pic>
              </a:graphicData>
            </a:graphic>
          </wp:anchor>
        </w:drawing>
      </w:r>
    </w:p>
    <w:p>
      <w:pPr>
        <w:jc w:val="center"/>
        <w:ind w:left="420"/>
        <w:spacing w:after="0"/>
        <w:rPr>
          <w:sz w:val="20"/>
          <w:szCs w:val="20"/>
          <w:color w:val="auto"/>
        </w:rPr>
      </w:pPr>
      <w:r>
        <w:rPr>
          <w:rFonts w:ascii="Times New Roman" w:cs="Times New Roman" w:eastAsia="Times New Roman" w:hAnsi="Times New Roman"/>
          <w:sz w:val="22"/>
          <w:szCs w:val="22"/>
          <w:b w:val="1"/>
          <w:bCs w:val="1"/>
          <w:color w:val="auto"/>
        </w:rPr>
        <w:t>Rule 457(p)</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Fee Offset</w:t>
      </w:r>
    </w:p>
    <w:p>
      <w:pPr>
        <w:ind w:left="120"/>
        <w:spacing w:after="0"/>
        <w:rPr>
          <w:sz w:val="20"/>
          <w:szCs w:val="20"/>
          <w:color w:val="auto"/>
        </w:rPr>
      </w:pPr>
      <w:r>
        <w:rPr>
          <w:rFonts w:ascii="Times New Roman" w:cs="Times New Roman" w:eastAsia="Times New Roman" w:hAnsi="Times New Roman"/>
          <w:sz w:val="22"/>
          <w:szCs w:val="22"/>
          <w:color w:val="auto"/>
        </w:rPr>
        <w:t>Claims</w:t>
      </w:r>
    </w:p>
    <w:p>
      <w:pPr>
        <w:ind w:left="120"/>
        <w:spacing w:after="0" w:line="233" w:lineRule="auto"/>
        <w:rPr>
          <w:sz w:val="20"/>
          <w:szCs w:val="20"/>
          <w:color w:val="auto"/>
        </w:rPr>
      </w:pPr>
      <w:r>
        <w:rPr>
          <w:rFonts w:ascii="Times New Roman" w:cs="Times New Roman" w:eastAsia="Times New Roman" w:hAnsi="Times New Roman"/>
          <w:sz w:val="22"/>
          <w:szCs w:val="22"/>
          <w:color w:val="auto"/>
        </w:rPr>
        <w:t>Fee Offset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Sources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
    </w:lvl>
  </w:abstractNum>
  <w:abstractNum w:abstractNumId="1">
    <w:nsid w:val="74B0DC51"/>
    <w:multiLevelType w:val="hybridMultilevel"/>
    <w:lvl w:ilvl="0">
      <w:lvlJc w:val="left"/>
      <w:lvlText w:val="1"/>
      <w:numFmt w:val="bullet"/>
      <w:start w:val="1"/>
    </w:lvl>
    <w:lvl w:ilvl="1">
      <w:lvlJc w:val="left"/>
      <w:lvlText w:val="(%2)"/>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jpeg"/><Relationship Id="rId24" Type="http://schemas.openxmlformats.org/officeDocument/2006/relationships/image" Target="media/image11.png"/><Relationship Id="rId25" Type="http://schemas.openxmlformats.org/officeDocument/2006/relationships/image" Target="media/image12.jpe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15" Type="http://schemas.openxmlformats.org/officeDocument/2006/relationships/hyperlink" Target="https://www.sec.gov/ix?doc=/Archives/edgar/data/0001132105/000119312526134702/spwh-20260131.htm" TargetMode="External"/><Relationship Id="rId16" Type="http://schemas.openxmlformats.org/officeDocument/2006/relationships/hyperlink" Target="https://www.sec.gov/ix?doc=/Archives/edgar/data/0001132105/000119312526253546/spwh-20260502.htm" TargetMode="External"/><Relationship Id="rId17" Type="http://schemas.openxmlformats.org/officeDocument/2006/relationships/hyperlink" Target="https://www.sec.gov/ix?doc=/Archives/edgar/data/0001132105/000119312526154919/spwh-20260414.htm" TargetMode="External"/><Relationship Id="rId18" Type="http://schemas.openxmlformats.org/officeDocument/2006/relationships/hyperlink" Target="https://www.sec.gov/Archives/edgar/data/1132105/000119312514132504/d706236d8a12b.htm" TargetMode="External"/><Relationship Id="rId19" Type="http://schemas.openxmlformats.org/officeDocument/2006/relationships/hyperlink" Target="https://www.sec.gov/ix?doc=/Archives/edgar/data/0001132105/000095017024041618/spwh-20240203.htm" TargetMode="External"/><Relationship Id="rId20" Type="http://schemas.openxmlformats.org/officeDocument/2006/relationships/hyperlink" Target="https://www.sec.gov/Archives/edgar/data/1132105/000119312526245199/spwh-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2026-06-02T15:38:23Z</dcterms:created>
  <dcterms:modified xsi:type="dcterms:W3CDTF">2026-06-02T15:38:23Z</dcterms:modified>
</cp:coreProperties>
</file>