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100" w:right="2640" w:hanging="4092"/>
        <w:spacing w:after="0" w:line="328" w:lineRule="auto"/>
        <w:tabs>
          <w:tab w:leader="none" w:pos="3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May 3, 2025</w:t>
      </w:r>
    </w:p>
    <w:p>
      <w:pPr>
        <w:ind w:left="54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940" w:right="2660" w:hanging="3932"/>
        <w:spacing w:after="0" w:line="299" w:lineRule="auto"/>
        <w:tabs>
          <w:tab w:leader="none" w:pos="33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from_______to_______</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SPORTSMAN’S WAREHOUSE HOLDINGS, INC.</w:t>
      </w:r>
    </w:p>
    <w:p>
      <w:pPr>
        <w:spacing w:after="0" w:line="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1080" w:type="dxa"/>
        <w:tblCellMar>
          <w:top w:w="0" w:type="dxa"/>
          <w:left w:w="0" w:type="dxa"/>
          <w:bottom w:w="0" w:type="dxa"/>
          <w:right w:w="0" w:type="dxa"/>
        </w:tblCellMar>
      </w:tblPr>
      <w:tr>
        <w:trPr>
          <w:trHeight w:val="203"/>
        </w:trPr>
        <w:tc>
          <w:tcPr>
            <w:tcW w:w="51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39-1975614</w:t>
            </w:r>
          </w:p>
        </w:tc>
      </w:tr>
      <w:tr>
        <w:trPr>
          <w:trHeight w:val="203"/>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60"/>
        </w:trPr>
        <w:tc>
          <w:tcPr>
            <w:tcW w:w="5160" w:type="dxa"/>
            <w:vAlign w:val="bottom"/>
          </w:tcPr>
          <w:p>
            <w:pPr>
              <w:jc w:val="center"/>
              <w:ind w:right="1579"/>
              <w:spacing w:after="0"/>
              <w:rPr>
                <w:sz w:val="20"/>
                <w:szCs w:val="20"/>
                <w:color w:val="auto"/>
              </w:rPr>
            </w:pPr>
            <w:r>
              <w:rPr>
                <w:rFonts w:ascii="Times New Roman" w:cs="Times New Roman" w:eastAsia="Times New Roman" w:hAnsi="Times New Roman"/>
                <w:sz w:val="16"/>
                <w:szCs w:val="16"/>
                <w:b w:val="1"/>
                <w:bCs w:val="1"/>
                <w:color w:val="auto"/>
              </w:rPr>
              <w:t>1475 West 9000 South, Suite A, West Jordan, Utah</w:t>
            </w:r>
          </w:p>
        </w:tc>
        <w:tc>
          <w:tcPr>
            <w:tcW w:w="2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84088</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31"/>
        </w:trPr>
        <w:tc>
          <w:tcPr>
            <w:tcW w:w="376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Title of each class</w:t>
            </w:r>
          </w:p>
        </w:tc>
        <w:tc>
          <w:tcPr>
            <w:tcW w:w="37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Trading Symbol(s)</w:t>
            </w:r>
          </w:p>
        </w:tc>
        <w:tc>
          <w:tcPr>
            <w:tcW w:w="37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65"/>
        </w:trPr>
        <w:tc>
          <w:tcPr>
            <w:tcW w:w="376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Common stock, par value $0.01 per share</w:t>
            </w:r>
          </w:p>
        </w:tc>
        <w:tc>
          <w:tcPr>
            <w:tcW w:w="37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SPWH</w:t>
            </w:r>
          </w:p>
        </w:tc>
        <w:tc>
          <w:tcPr>
            <w:tcW w:w="37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13"/>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9" w:lineRule="exact"/>
        <w:rPr>
          <w:sz w:val="24"/>
          <w:szCs w:val="24"/>
          <w:color w:val="auto"/>
        </w:rPr>
      </w:pPr>
    </w:p>
    <w:p>
      <w:pPr>
        <w:ind w:right="4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155" w:lineRule="exact"/>
        <w:rPr>
          <w:sz w:val="24"/>
          <w:szCs w:val="24"/>
          <w:color w:val="auto"/>
        </w:rPr>
      </w:pPr>
    </w:p>
    <w:p>
      <w:pPr>
        <w:ind w:left="520" w:right="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spacing w:after="0" w:line="184" w:lineRule="exact"/>
        <w:tabs>
          <w:tab w:leader="none" w:pos="8020" w:val="left"/>
          <w:tab w:leader="none" w:pos="8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per share, outstanding as of May 27, 2025 was 38,318,169.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20" w:type="dxa"/>
            <w:vAlign w:val="bottom"/>
            <w:gridSpan w:val="24"/>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00" w:type="dxa"/>
            <w:vAlign w:val="bottom"/>
            <w:gridSpan w:val="2"/>
          </w:tcPr>
          <w:p>
            <w:pPr>
              <w:spacing w:after="0"/>
              <w:rPr>
                <w:sz w:val="24"/>
                <w:szCs w:val="24"/>
                <w:color w:val="auto"/>
              </w:rPr>
            </w:pPr>
          </w:p>
        </w:tc>
        <w:tc>
          <w:tcPr>
            <w:tcW w:w="2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6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24"/>
                <w:szCs w:val="24"/>
                <w:color w:val="auto"/>
              </w:rPr>
            </w:pPr>
          </w:p>
        </w:tc>
        <w:tc>
          <w:tcPr>
            <w:tcW w:w="634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48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24"/>
                <w:szCs w:val="24"/>
                <w:color w:val="auto"/>
              </w:rPr>
            </w:pPr>
          </w:p>
        </w:tc>
        <w:tc>
          <w:tcPr>
            <w:tcW w:w="556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00" w:type="dxa"/>
            <w:vAlign w:val="bottom"/>
            <w:gridSpan w:val="2"/>
          </w:tcPr>
          <w:p>
            <w:pPr>
              <w:spacing w:after="0"/>
              <w:rPr>
                <w:sz w:val="24"/>
                <w:szCs w:val="24"/>
                <w:color w:val="auto"/>
              </w:rPr>
            </w:pP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00" w:type="dxa"/>
            <w:vAlign w:val="bottom"/>
            <w:gridSpan w:val="2"/>
          </w:tcPr>
          <w:p>
            <w:pPr>
              <w:spacing w:after="0"/>
              <w:rPr>
                <w:sz w:val="24"/>
                <w:szCs w:val="24"/>
                <w:color w:val="auto"/>
              </w:rPr>
            </w:pPr>
          </w:p>
        </w:tc>
        <w:tc>
          <w:tcPr>
            <w:tcW w:w="4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20" w:type="dxa"/>
            <w:vAlign w:val="bottom"/>
            <w:gridSpan w:val="3"/>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00" w:type="dxa"/>
            <w:vAlign w:val="bottom"/>
            <w:gridSpan w:val="2"/>
          </w:tcPr>
          <w:p>
            <w:pPr>
              <w:spacing w:after="0"/>
              <w:rPr>
                <w:sz w:val="24"/>
                <w:szCs w:val="24"/>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102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FF"/>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00" w:type="dxa"/>
            <w:vAlign w:val="bottom"/>
            <w:tcBorders>
              <w:top w:val="single" w:sz="8" w:color="0000FF"/>
            </w:tcBorders>
            <w:gridSpan w:val="2"/>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742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280" w:type="dxa"/>
            <w:vAlign w:val="bottom"/>
          </w:tcPr>
          <w:p>
            <w:pPr>
              <w:spacing w:after="0"/>
              <w:rPr>
                <w:sz w:val="24"/>
                <w:szCs w:val="24"/>
                <w:color w:val="auto"/>
              </w:rPr>
            </w:pP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4"/>
                <w:szCs w:val="24"/>
                <w:color w:val="auto"/>
              </w:rPr>
            </w:pPr>
          </w:p>
        </w:tc>
        <w:tc>
          <w:tcPr>
            <w:tcW w:w="698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00" w:type="dxa"/>
            <w:vAlign w:val="bottom"/>
            <w:gridSpan w:val="2"/>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20" w:type="dxa"/>
            <w:vAlign w:val="bottom"/>
            <w:gridSpan w:val="1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operate on a fiscal calendar that, in a given fiscal year, consists of the 52- or 53-week period ending on the Saturday closest to January 31st. Our first fiscal quarters for fiscal year 2025 and fiscal year 2024 ended on May 3, 2025 and May 4, 2024, respectively. Both quarters consisted of 13 weeks and are referred to herein as the first quarter of fiscal year 2025 and the first quarter of fiscal year 2024, respectively. Fiscal year 2025 contains 52 weeks of operations and will end on January 31, 2026. Fiscal year 2024 contained 52 weeks of operations and ended on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2025” refer to our fiscal year ending January 31, 2026; (ii) “fiscal year 2024” refer to our fiscal year ended February 1, 2025; and (iii) “fiscal year 2023” refer to our fiscal year ended February 3, 2024.</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97" w:lineRule="exact"/>
        <w:rPr>
          <w:sz w:val="20"/>
          <w:szCs w:val="20"/>
          <w:color w:val="auto"/>
        </w:rPr>
      </w:pPr>
    </w:p>
    <w:p>
      <w:pPr>
        <w:ind w:left="760" w:right="40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50" w:lineRule="exact"/>
        <w:rPr>
          <w:rFonts w:ascii="Times New Roman" w:cs="Times New Roman" w:eastAsia="Times New Roman" w:hAnsi="Times New Roman"/>
          <w:sz w:val="18"/>
          <w:szCs w:val="18"/>
          <w:color w:val="auto"/>
        </w:rPr>
      </w:pPr>
    </w:p>
    <w:p>
      <w:pPr>
        <w:ind w:left="760" w:right="94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50" w:lineRule="exact"/>
        <w:rPr>
          <w:rFonts w:ascii="Times New Roman" w:cs="Times New Roman" w:eastAsia="Times New Roman" w:hAnsi="Times New Roman"/>
          <w:sz w:val="18"/>
          <w:szCs w:val="18"/>
          <w:color w:val="auto"/>
        </w:rPr>
      </w:pPr>
    </w:p>
    <w:p>
      <w:pPr>
        <w:ind w:left="760" w:right="26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plans to open additional stores in future periods, which may not be successful;</w:t>
      </w:r>
    </w:p>
    <w:p>
      <w:pPr>
        <w:spacing w:after="0" w:line="50" w:lineRule="exact"/>
        <w:rPr>
          <w:rFonts w:ascii="Times New Roman" w:cs="Times New Roman" w:eastAsia="Times New Roman" w:hAnsi="Times New Roman"/>
          <w:sz w:val="18"/>
          <w:szCs w:val="18"/>
          <w:color w:val="auto"/>
        </w:rPr>
      </w:pPr>
    </w:p>
    <w:p>
      <w:pPr>
        <w:ind w:left="760" w:right="24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50" w:lineRule="exact"/>
        <w:rPr>
          <w:rFonts w:ascii="Times New Roman" w:cs="Times New Roman" w:eastAsia="Times New Roman" w:hAnsi="Times New Roman"/>
          <w:sz w:val="18"/>
          <w:szCs w:val="18"/>
          <w:color w:val="auto"/>
        </w:rPr>
      </w:pPr>
    </w:p>
    <w:p>
      <w:pPr>
        <w:ind w:left="760" w:right="440" w:hanging="378"/>
        <w:spacing w:after="0" w:line="28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elevated interest rates, the impacts of tariffs and trade disputes, economic slowdowns, and recessions or market corrections.</w:t>
      </w:r>
    </w:p>
    <w:p>
      <w:pPr>
        <w:spacing w:after="0" w:line="6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appearing in our Annual Report on Form 10-K for the fiscal year ended February 1, 2025 (our “Fiscal 2024 Form 10-K”) and “Part I., Item 2., Management’s Discussion and Analysis of Financial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4" w:lineRule="exact"/>
        <w:rPr>
          <w:sz w:val="20"/>
          <w:szCs w:val="20"/>
          <w:color w:val="auto"/>
        </w:rPr>
      </w:pPr>
    </w:p>
    <w:p>
      <w:pPr>
        <w:jc w:val="center"/>
        <w:ind w:right="40"/>
        <w:spacing w:after="0" w:line="265"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BALANCE SHEETS Amounts in Thousands, Except Par Value Data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3,</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7100" w:type="dxa"/>
            <w:vAlign w:val="bottom"/>
          </w:tcPr>
          <w:p>
            <w:pPr>
              <w:spacing w:after="0"/>
              <w:rPr>
                <w:sz w:val="15"/>
                <w:szCs w:val="15"/>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Merchandise inventories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412,268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341,958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100" w:type="dxa"/>
            <w:vAlign w:val="bottom"/>
          </w:tcPr>
          <w:p>
            <w:pPr>
              <w:spacing w:after="0"/>
              <w:rPr>
                <w:sz w:val="18"/>
                <w:szCs w:val="18"/>
                <w:color w:val="auto"/>
              </w:rPr>
            </w:pPr>
          </w:p>
        </w:tc>
      </w:tr>
      <w:tr>
        <w:trPr>
          <w:trHeight w:val="209"/>
        </w:trPr>
        <w:tc>
          <w:tcPr>
            <w:tcW w:w="7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current assets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441,354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366,002</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323,753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316,499</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162,813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167,838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929,669</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88,119</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64,041</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95,946</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141,864</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283,963</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Term loan, net</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311,966</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307,422</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336,112</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714,612</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616,398</w:t>
            </w:r>
          </w:p>
        </w:tc>
        <w:tc>
          <w:tcPr>
            <w:tcW w:w="100" w:type="dxa"/>
            <w:vAlign w:val="bottom"/>
          </w:tcPr>
          <w:p>
            <w:pPr>
              <w:spacing w:after="0"/>
              <w:rPr>
                <w:sz w:val="18"/>
                <w:szCs w:val="18"/>
                <w:color w:val="auto"/>
              </w:rPr>
            </w:pPr>
          </w:p>
        </w:tc>
      </w:tr>
      <w:tr>
        <w:trPr>
          <w:trHeight w:val="210"/>
        </w:trPr>
        <w:tc>
          <w:tcPr>
            <w:tcW w:w="7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 shares authorized; 38,318 and 38,103 shares issued</w:t>
            </w: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0"/>
                <w:szCs w:val="20"/>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86,604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earnings</w:t>
            </w:r>
          </w:p>
        </w:tc>
        <w:tc>
          <w:tcPr>
            <w:tcW w:w="1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128,070</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149,324</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215,057</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929,669</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852,102</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-3676650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-2407920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-1567815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STATEMENTS OF OPERATIONS Amounts in Thousands, Except Per Share Data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6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60" w:type="dxa"/>
            <w:vAlign w:val="bottom"/>
          </w:tcPr>
          <w:p>
            <w:pPr>
              <w:jc w:val="right"/>
              <w:ind w:right="91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r>
      <w:tr>
        <w:trPr>
          <w:trHeight w:val="173"/>
        </w:trPr>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gridSpan w:val="2"/>
            <w:shd w:val="clear" w:color="auto" w:fill="CFF0FC"/>
          </w:tcPr>
          <w:p>
            <w:pPr>
              <w:jc w:val="right"/>
              <w:ind w:right="141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249,103</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244,240</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173,460</w:t>
            </w:r>
          </w:p>
        </w:tc>
        <w:tc>
          <w:tcPr>
            <w:tcW w:w="3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170,454</w:t>
            </w:r>
          </w:p>
        </w:tc>
        <w:tc>
          <w:tcPr>
            <w:tcW w:w="100" w:type="dxa"/>
            <w:vAlign w:val="bottom"/>
          </w:tcPr>
          <w:p>
            <w:pPr>
              <w:spacing w:after="0"/>
              <w:rPr>
                <w:sz w:val="18"/>
                <w:szCs w:val="18"/>
                <w:color w:val="auto"/>
              </w:rPr>
            </w:pPr>
          </w:p>
        </w:tc>
      </w:tr>
      <w:tr>
        <w:trPr>
          <w:trHeight w:val="209"/>
        </w:trPr>
        <w:tc>
          <w:tcPr>
            <w:tcW w:w="4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36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3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6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95,256</w:t>
            </w:r>
          </w:p>
        </w:tc>
        <w:tc>
          <w:tcPr>
            <w:tcW w:w="3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94,413</w:t>
            </w:r>
          </w:p>
        </w:tc>
        <w:tc>
          <w:tcPr>
            <w:tcW w:w="100" w:type="dxa"/>
            <w:vAlign w:val="bottom"/>
          </w:tcPr>
          <w:p>
            <w:pPr>
              <w:spacing w:after="0"/>
              <w:rPr>
                <w:sz w:val="24"/>
                <w:szCs w:val="24"/>
                <w:color w:val="auto"/>
              </w:rPr>
            </w:pPr>
          </w:p>
        </w:tc>
      </w:tr>
      <w:tr>
        <w:trPr>
          <w:trHeight w:val="209"/>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3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(19,613)</w:t>
            </w:r>
          </w:p>
        </w:tc>
        <w:tc>
          <w:tcPr>
            <w:tcW w:w="7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(20,627)</w:t>
            </w:r>
          </w:p>
        </w:tc>
      </w:tr>
      <w:tr>
        <w:trPr>
          <w:trHeight w:val="216"/>
        </w:trPr>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Borders>
              <w:bottom w:val="single" w:sz="8" w:color="CFF0FC"/>
            </w:tcBorders>
          </w:tcPr>
          <w:p>
            <w:pPr>
              <w:spacing w:after="0"/>
              <w:rPr>
                <w:sz w:val="18"/>
                <w:szCs w:val="18"/>
                <w:color w:val="auto"/>
              </w:rPr>
            </w:pPr>
          </w:p>
        </w:tc>
      </w:tr>
      <w:tr>
        <w:trPr>
          <w:trHeight w:val="210"/>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(1,330)</w:t>
            </w:r>
          </w:p>
        </w:tc>
        <w:tc>
          <w:tcPr>
            <w:tcW w:w="7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r>
      <w:tr>
        <w:trPr>
          <w:trHeight w:val="20"/>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1418"/>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(21,254)</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(18,066)</w:t>
            </w:r>
          </w:p>
        </w:tc>
      </w:tr>
      <w:tr>
        <w:trPr>
          <w:trHeight w:val="197"/>
        </w:trPr>
        <w:tc>
          <w:tcPr>
            <w:tcW w:w="4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1360" w:type="dxa"/>
            <w:vAlign w:val="bottom"/>
            <w:tcBorders>
              <w:top w:val="single" w:sz="8" w:color="CFF0FC"/>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1418"/>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(0.56)</w:t>
            </w: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6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17"/>
                <w:szCs w:val="17"/>
                <w:color w:val="auto"/>
              </w:rPr>
            </w:pPr>
          </w:p>
        </w:tc>
        <w:tc>
          <w:tcPr>
            <w:tcW w:w="1600" w:type="dxa"/>
            <w:vAlign w:val="bottom"/>
          </w:tcPr>
          <w:p>
            <w:pPr>
              <w:jc w:val="right"/>
              <w:ind w:right="1418"/>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76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(0.48)</w:t>
            </w:r>
          </w:p>
        </w:tc>
      </w:tr>
      <w:tr>
        <w:trPr>
          <w:trHeight w:val="20"/>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3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3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1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0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38,144</w:t>
            </w:r>
          </w:p>
        </w:tc>
        <w:tc>
          <w:tcPr>
            <w:tcW w:w="3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37,567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-1945005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-1379220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-950595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-933450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-650875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Thirteen Weeks Ended May 3, 2025 and May 4,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Additiona</w:t>
            </w:r>
          </w:p>
        </w:tc>
        <w:tc>
          <w:tcPr>
            <w:tcW w:w="860" w:type="dxa"/>
            <w:vAlign w:val="bottom"/>
            <w:tcBorders>
              <w:top w:val="single" w:sz="8" w:color="auto"/>
            </w:tcBorders>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20" w:type="dxa"/>
            <w:vAlign w:val="bottom"/>
          </w:tcPr>
          <w:p>
            <w:pPr>
              <w:spacing w:after="0"/>
              <w:rPr>
                <w:sz w:val="12"/>
                <w:szCs w:val="12"/>
                <w:color w:val="auto"/>
              </w:rPr>
            </w:pPr>
          </w:p>
        </w:tc>
        <w:tc>
          <w:tcPr>
            <w:tcW w:w="7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ted</w:t>
            </w:r>
          </w:p>
        </w:tc>
        <w:tc>
          <w:tcPr>
            <w:tcW w:w="7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(deficit)</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8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90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90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February 3, 2024</w:t>
            </w: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182,38</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5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14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$ 81,798</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$ 264,556</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4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units</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198"/>
        </w:trPr>
        <w:tc>
          <w:tcPr>
            <w:tcW w:w="35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(18,06</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(18,066)</w:t>
            </w:r>
          </w:p>
        </w:tc>
        <w:tc>
          <w:tcPr>
            <w:tcW w:w="0" w:type="dxa"/>
            <w:vAlign w:val="bottom"/>
          </w:tcPr>
          <w:p>
            <w:pPr>
              <w:spacing w:after="0"/>
              <w:rPr>
                <w:sz w:val="1"/>
                <w:szCs w:val="1"/>
                <w:color w:val="auto"/>
              </w:rPr>
            </w:pPr>
          </w:p>
        </w:tc>
      </w:tr>
      <w:tr>
        <w:trPr>
          <w:trHeight w:val="191"/>
        </w:trPr>
        <w:tc>
          <w:tcPr>
            <w:tcW w:w="358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Balance at May 4, 2024</w:t>
            </w: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164,31</w:t>
            </w:r>
          </w:p>
        </w:tc>
        <w:tc>
          <w:tcPr>
            <w:tcW w:w="200" w:type="dxa"/>
            <w:vAlign w:val="bottom"/>
            <w:tcBorders>
              <w:top w:val="single" w:sz="8" w:color="CFF0F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140" w:type="dxa"/>
            <w:vAlign w:val="bottom"/>
          </w:tcPr>
          <w:p>
            <w:pPr>
              <w:spacing w:after="0"/>
              <w:rPr>
                <w:sz w:val="20"/>
                <w:szCs w:val="20"/>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$ 82,839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$ 247,532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February 1, 2025</w:t>
            </w:r>
          </w:p>
        </w:tc>
        <w:tc>
          <w:tcPr>
            <w:tcW w:w="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149,32</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5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38,041</w:t>
            </w:r>
          </w:p>
        </w:tc>
        <w:tc>
          <w:tcPr>
            <w:tcW w:w="14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$ 86,000</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$ 235,704</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4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Payment of withholdings on</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198"/>
        </w:trPr>
        <w:tc>
          <w:tcPr>
            <w:tcW w:w="35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(21,25</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(21,254)</w:t>
            </w:r>
          </w:p>
        </w:tc>
        <w:tc>
          <w:tcPr>
            <w:tcW w:w="0" w:type="dxa"/>
            <w:vAlign w:val="bottom"/>
          </w:tcPr>
          <w:p>
            <w:pPr>
              <w:spacing w:after="0"/>
              <w:rPr>
                <w:sz w:val="1"/>
                <w:szCs w:val="1"/>
                <w:color w:val="auto"/>
              </w:rPr>
            </w:pPr>
          </w:p>
        </w:tc>
      </w:tr>
      <w:tr>
        <w:trPr>
          <w:trHeight w:val="191"/>
        </w:trPr>
        <w:tc>
          <w:tcPr>
            <w:tcW w:w="358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Balance at May 3, 2025</w:t>
            </w: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128,07</w:t>
            </w:r>
          </w:p>
        </w:tc>
        <w:tc>
          <w:tcPr>
            <w:tcW w:w="200" w:type="dxa"/>
            <w:vAlign w:val="bottom"/>
            <w:tcBorders>
              <w:top w:val="single" w:sz="8" w:color="CFF0F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38,318</w:t>
            </w:r>
          </w:p>
        </w:tc>
        <w:tc>
          <w:tcPr>
            <w:tcW w:w="140" w:type="dxa"/>
            <w:vAlign w:val="bottom"/>
          </w:tcPr>
          <w:p>
            <w:pPr>
              <w:spacing w:after="0"/>
              <w:rPr>
                <w:sz w:val="20"/>
                <w:szCs w:val="20"/>
                <w:color w:val="auto"/>
              </w:rPr>
            </w:pP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$ 86,604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$ 215,057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-2734310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-2716530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-2734310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-2716530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-2734310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-2716530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-2734310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-2716530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-2734310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-2716530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-2734310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-2716530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-2734310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-2716530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-2734310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-2716530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-2734310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-1885315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-1885315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-1885315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-1885315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-1885315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-1885315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-1885315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-1885315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-1156970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-1139190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-1156970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-1139190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-1156970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-1139190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-1156970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-1139190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-1156970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-1139190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-1156970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-1139190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-1156970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-1139190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-1156970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-1139190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-307975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-307975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-307975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-307975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-307975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-307975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-307975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-307975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8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Thirteen Weeks Ended</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40" w:type="dxa"/>
            <w:vAlign w:val="bottom"/>
          </w:tcPr>
          <w:p>
            <w:pPr>
              <w:jc w:val="right"/>
              <w:ind w:right="511"/>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48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(21,254)</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discount on debt and deferred financing fees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definite lived intangible</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asset dispositions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 net of amounts acquired:</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Merchandise inventories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(70,310)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(60,234)</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 net of amounts acquired</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4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37,992</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book overdraft</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withholdings on restricted stock units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deferred financing costs and discount on term loan</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80" w:type="dxa"/>
            <w:vAlign w:val="bottom"/>
            <w:gridSpan w:val="2"/>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1480" w:type="dxa"/>
            <w:vAlign w:val="bottom"/>
            <w:gridSpan w:val="2"/>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7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Noncash change in operating lease right of use asset and operating lease liabilities from</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remeasurement of existing leases and addition of new leases</w:t>
            </w:r>
          </w:p>
        </w:tc>
        <w:tc>
          <w:tcPr>
            <w:tcW w:w="1480" w:type="dxa"/>
            <w:vAlign w:val="bottom"/>
            <w:gridSpan w:val="2"/>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(3,953)</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1480" w:type="dxa"/>
            <w:vAlign w:val="bottom"/>
            <w:gridSpan w:val="2"/>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71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-4285615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-4285615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-3719830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-3719830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-2879725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-2879725</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-2588260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-2588260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(unaudited)</w:t>
      </w:r>
    </w:p>
    <w:p>
      <w:pPr>
        <w:spacing w:after="0" w:line="311" w:lineRule="exact"/>
        <w:rPr>
          <w:sz w:val="20"/>
          <w:szCs w:val="20"/>
          <w:color w:val="auto"/>
        </w:rPr>
      </w:pPr>
    </w:p>
    <w:p>
      <w:pPr>
        <w:ind w:right="7200" w:firstLine="8"/>
        <w:spacing w:after="0" w:line="378" w:lineRule="auto"/>
        <w:tabs>
          <w:tab w:leader="none" w:pos="2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Description of Business</w:t>
      </w:r>
    </w:p>
    <w:p>
      <w:pPr>
        <w:ind w:right="340"/>
        <w:spacing w:after="0" w:line="266" w:lineRule="auto"/>
        <w:rPr>
          <w:sz w:val="20"/>
          <w:szCs w:val="20"/>
          <w:color w:val="auto"/>
        </w:rPr>
      </w:pPr>
      <w:r>
        <w:rPr>
          <w:rFonts w:ascii="Times New Roman" w:cs="Times New Roman" w:eastAsia="Times New Roman" w:hAnsi="Times New Roman"/>
          <w:sz w:val="18"/>
          <w:szCs w:val="18"/>
          <w:color w:val="auto"/>
        </w:rPr>
        <w:t>Sportsman’s Warehouse Holdings, Inc., a Delaware corporation (“Holdings”), and its subsidiaries (collectively, the “Company”) operate retail sporting goods stores. As of May 3, 2025, the Company operated 146 stores in 32 states. The Company also operates an e-commerce platform at www.sportsmans.com. The Company’s stores and website are aggregated into one operating and reportable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February 1, 2025 was derived from the Company’s audited consolidated balance sheet as of that date. All other condensed consolidated financial statements contained herein are unaudited and reflect all adjustments that are, in the opinion of management, necessary to summarize fairly the Company's condensed consolidated financial statements for the periods presented. All of these adjustments are of a normal recurring nature. The results of the fiscal quarter ended May 3, 2025 are not necessarily indicative of the results to be obtained for the fiscal year ending January 31, 2026. These condensed consolidated financial statements should be read in conjunction with the Company’s audited consolidated financial statements and notes thereto included in the Company’s Annual Report on Form 10-K for the fiscal year ended February 1, 2025 filed with the SEC on April 2, 2025 (the “Fiscal 2024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Fiscal 2024 Form 10-K. The Company has consistently applied the accounting policies to all periods presented in the condensed consolidated financial statements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 applied prospectively for annual financial statements not yet issued or made available for issuance. The Company is evaluating the future impact of the issuance of this ASU on its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which includes improvements to the disclosures in the notes to the financial statements of specified information about certain costs and expenses. This ASU requires the disclosure of (1) amounts of certain relevant expenses included in each caption on the face of the financial statements, (2) certain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that are already required to be disclosed under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an entity's definition of selling expenses. This ASU is effective for public entities for annual periods beginning after December 15, 2026, and interim reporting periods beginning after December 15, 2027 with early adoption permitted. The Company is evaluating the future impact of the issuance of this ASU on its consolidated financial 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Accounting Standards Codification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35.0% using historical rates and future expectations.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right of return assets, contract liabilities, and sales return liabilities with customers as of May 3,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May 3,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00" w:type="dxa"/>
            <w:vAlign w:val="bottom"/>
          </w:tcPr>
          <w:p>
            <w:pPr>
              <w:spacing w:after="0"/>
              <w:rPr>
                <w:sz w:val="15"/>
                <w:szCs w:val="15"/>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1,701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1,732</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(30,872)</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(2,606)</w:t>
            </w: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(2,585)</w:t>
            </w:r>
          </w:p>
        </w:tc>
      </w:tr>
    </w:tbl>
    <w:p>
      <w:pPr>
        <w:spacing w:after="0" w:line="1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13 weeks ended May 3, 2025, the Company recognized approximately $379 in gift card breakage and approximately $1,024 in loyalty breakage. During the 13 weeks ended May 4, 2024, the Company recognized approximately $407 in gift card breakage and approximately $437 in loyalty breakage. During the 13 weeks ended May 3, 2025, the Company recognized revenue of $8,130 relating to contract liabilities that existed at February 1, 2025.</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13 weeks ended May 3, 2025 and May 4, 2024, was approximately: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10"/>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80" w:type="dxa"/>
            <w:vAlign w:val="bottom"/>
            <w:vMerge w:val="restart"/>
          </w:tcPr>
          <w:p>
            <w:pPr>
              <w:spacing w:after="0"/>
              <w:rPr>
                <w:sz w:val="10"/>
                <w:szCs w:val="10"/>
                <w:color w:val="auto"/>
              </w:rPr>
            </w:pPr>
          </w:p>
        </w:tc>
        <w:tc>
          <w:tcPr>
            <w:tcW w:w="522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5"/>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494"/>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2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30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534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 coolers, outdoor</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cooking equipment, sleeping bags, tents and tools</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5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 technical gear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wear</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53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 fishing, lines, lures,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reels, tackle and small boats</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5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 footwear, trail shoes,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casual shoes, waders and work boots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23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w:t>
            </w:r>
          </w:p>
        </w:tc>
        <w:tc>
          <w:tcPr>
            <w:tcW w:w="534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 and tree stands,</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decoys, firearms, reloading equipment and shooting gear</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198"/>
        </w:trPr>
        <w:tc>
          <w:tcPr>
            <w:tcW w:w="2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w:t>
            </w:r>
          </w:p>
        </w:tc>
        <w:tc>
          <w:tcPr>
            <w:tcW w:w="5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two-way radios,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1"/>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Accessories, and Other</w:t>
            </w: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license revenue, net of revenue discounts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737"/>
        </w:trPr>
        <w:tc>
          <w:tcPr>
            <w:tcW w:w="23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5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May 3, 2025 and February 1, 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178,422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175,178</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233,411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232,168</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413,282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408,472</w:t>
            </w: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(250,469)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(240,634)</w:t>
            </w:r>
          </w:p>
        </w:tc>
        <w:tc>
          <w:tcPr>
            <w:tcW w:w="0" w:type="dxa"/>
            <w:vAlign w:val="bottom"/>
          </w:tcPr>
          <w:p>
            <w:pPr>
              <w:spacing w:after="0"/>
              <w:rPr>
                <w:sz w:val="1"/>
                <w:szCs w:val="1"/>
                <w:color w:val="auto"/>
              </w:rPr>
            </w:pPr>
          </w:p>
        </w:tc>
      </w:tr>
      <w:tr>
        <w:trPr>
          <w:trHeight w:val="20"/>
        </w:trPr>
        <w:tc>
          <w:tcPr>
            <w:tcW w:w="2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167,838</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300" w:type="dxa"/>
            <w:vAlign w:val="bottom"/>
            <w:gridSpan w:val="2"/>
            <w:vMerge w:val="continue"/>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May 3, 2025 and February 1, 2025: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Book overdraft</w:t>
            </w:r>
          </w:p>
        </w:tc>
        <w:tc>
          <w:tcPr>
            <w:tcW w:w="5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19,690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13,027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use tax payable</w:t>
            </w: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5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5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97,565</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95,946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71"/>
        </w:trPr>
        <w:tc>
          <w:tcPr>
            <w:tcW w:w="2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5220" w:type="dxa"/>
            <w:vAlign w:val="bottom"/>
            <w:tcBorders>
              <w:top w:val="single" w:sz="8" w:color="CFF0FC"/>
            </w:tcBorders>
          </w:tcPr>
          <w:p>
            <w:pPr>
              <w:ind w:left="32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-4876800</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-4859655</wp:posOffset>
            </wp:positionV>
            <wp:extent cx="111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-4876800</wp:posOffset>
            </wp:positionV>
            <wp:extent cx="1117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-4859655</wp:posOffset>
            </wp:positionV>
            <wp:extent cx="1117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-3419475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-3136900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-1087755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At the inception of the lease, the Company’s operating leases have remaining certain lease terms of up to 15 years, which typically includes multiple options for the Company to extend the lease which are not reasonably certain.</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13 weeks ended May 3, 2025, the Company recorded a net non-cash decrease of $3,953 to the right of use assets and operating lease liabilities resulting from lease remeasurements from the exercise of lease extension options, acquired leases, new leases added and lease amendments.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3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160" w:type="dxa"/>
            <w:vAlign w:val="bottom"/>
          </w:tcPr>
          <w:p>
            <w:pPr>
              <w:jc w:val="right"/>
              <w:ind w:right="342"/>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80" w:type="dxa"/>
            <w:vAlign w:val="bottom"/>
          </w:tcPr>
          <w:p>
            <w:pPr>
              <w:jc w:val="right"/>
              <w:ind w:right="1257"/>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20" w:type="dxa"/>
            <w:vAlign w:val="bottom"/>
          </w:tcPr>
          <w:p>
            <w:pPr>
              <w:spacing w:after="0"/>
              <w:rPr>
                <w:sz w:val="10"/>
                <w:szCs w:val="10"/>
                <w:color w:val="auto"/>
              </w:rPr>
            </w:pPr>
          </w:p>
        </w:tc>
      </w:tr>
      <w:tr>
        <w:trPr>
          <w:trHeight w:val="173"/>
        </w:trPr>
        <w:tc>
          <w:tcPr>
            <w:tcW w:w="3160" w:type="dxa"/>
            <w:vAlign w:val="bottom"/>
          </w:tcPr>
          <w:p>
            <w:pPr>
              <w:spacing w:after="0"/>
              <w:rPr>
                <w:sz w:val="15"/>
                <w:szCs w:val="15"/>
                <w:color w:val="auto"/>
              </w:rPr>
            </w:pPr>
          </w:p>
        </w:tc>
        <w:tc>
          <w:tcPr>
            <w:tcW w:w="3500" w:type="dxa"/>
            <w:vAlign w:val="bottom"/>
            <w:gridSpan w:val="2"/>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180" w:type="dxa"/>
            <w:vAlign w:val="bottom"/>
          </w:tcPr>
          <w:p>
            <w:pPr>
              <w:jc w:val="right"/>
              <w:ind w:right="13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500" w:type="dxa"/>
            <w:vAlign w:val="bottom"/>
            <w:gridSpan w:val="2"/>
            <w:shd w:val="clear" w:color="auto" w:fill="CFF0FC"/>
          </w:tcPr>
          <w:p>
            <w:pPr>
              <w:jc w:val="right"/>
              <w:ind w:right="19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136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2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20" w:type="dxa"/>
            <w:vAlign w:val="bottom"/>
          </w:tcPr>
          <w:p>
            <w:pPr>
              <w:spacing w:after="0"/>
              <w:rPr>
                <w:sz w:val="18"/>
                <w:szCs w:val="18"/>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134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lease expense</w:t>
            </w:r>
          </w:p>
        </w:tc>
        <w:tc>
          <w:tcPr>
            <w:tcW w:w="1340" w:type="dxa"/>
            <w:vAlign w:val="bottom"/>
          </w:tcPr>
          <w:p>
            <w:pPr>
              <w:spacing w:after="0"/>
              <w:rPr>
                <w:sz w:val="18"/>
                <w:szCs w:val="18"/>
                <w:color w:val="auto"/>
              </w:rPr>
            </w:pPr>
          </w:p>
        </w:tc>
        <w:tc>
          <w:tcPr>
            <w:tcW w:w="2160" w:type="dxa"/>
            <w:vAlign w:val="bottom"/>
            <w:tcBorders>
              <w:bottom w:val="single" w:sz="8" w:color="auto"/>
            </w:tcBorders>
          </w:tcPr>
          <w:p>
            <w:pPr>
              <w:jc w:val="right"/>
              <w:ind w:right="198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23,977</w:t>
            </w:r>
          </w:p>
        </w:tc>
        <w:tc>
          <w:tcPr>
            <w:tcW w:w="10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12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45"/>
        </w:trPr>
        <w:tc>
          <w:tcPr>
            <w:tcW w:w="3160" w:type="dxa"/>
            <w:vAlign w:val="bottom"/>
          </w:tcPr>
          <w:p>
            <w:pPr>
              <w:spacing w:after="0"/>
              <w:rPr>
                <w:sz w:val="24"/>
                <w:szCs w:val="24"/>
                <w:color w:val="auto"/>
              </w:rPr>
            </w:pPr>
          </w:p>
        </w:tc>
        <w:tc>
          <w:tcPr>
            <w:tcW w:w="350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-1216660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gridSpan w:val="12"/>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17"/>
        </w:trPr>
        <w:tc>
          <w:tcPr>
            <w:tcW w:w="7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18,265</w:t>
            </w: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18,518</w:t>
            </w:r>
          </w:p>
        </w:tc>
        <w:tc>
          <w:tcPr>
            <w:tcW w:w="0" w:type="dxa"/>
            <w:vAlign w:val="bottom"/>
          </w:tcPr>
          <w:p>
            <w:pPr>
              <w:spacing w:after="0"/>
              <w:rPr>
                <w:sz w:val="1"/>
                <w:szCs w:val="1"/>
                <w:color w:val="auto"/>
              </w:rPr>
            </w:pPr>
          </w:p>
        </w:tc>
      </w:tr>
      <w:tr>
        <w:trPr>
          <w:trHeight w:val="340"/>
        </w:trPr>
        <w:tc>
          <w:tcPr>
            <w:tcW w:w="7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of May 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May 4,</w:t>
            </w: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or remeasured operating lease liabilities</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(3,953)</w:t>
            </w:r>
          </w:p>
        </w:tc>
        <w:tc>
          <w:tcPr>
            <w:tcW w:w="14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Terminated right-of-use assets and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6.08</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45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 accordance with ASC 842, maturities of operating lease liabilities as of May 3, 2025 were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55,901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67,568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52,807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152,745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Undiscounted cash flows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465,198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362,432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311,966</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362,432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gridSpan w:val="5"/>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102,766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Segments</w:t>
      </w:r>
    </w:p>
    <w:p>
      <w:pPr>
        <w:spacing w:after="0" w:line="33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Sportsman's Warehouse, which operates solely as a sporting goods retailer, including both retail stores and an e-commerce platform. The single operating segment derives revenues from customers purchasing goods from both the Company’s retail stores and its e-commerce platform.</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single operating segment and decides how to allocate resources based on net income (loss) that also is reported on the condensed consolidated statement of operations.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Asset information is not presented here because its presentation here would be duplicative of the condensed consolidated balance sheets.</w:t>
      </w:r>
    </w:p>
    <w:p>
      <w:pPr>
        <w:spacing w:after="0" w:line="54"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Net income is used in monitoring budget versus actual results. The CODM also uses net income (loss) in competitive analysis by benchmarking to the Company’s competitors. The competitive analysis along with the monitoring of budgeted versus actual results are used in assessing performance of the segment and in establishing management’s compensation.</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single reportable segment revenue, segment profit or loss, and significant segment expenses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7460" w:type="dxa"/>
            <w:vAlign w:val="bottom"/>
          </w:tcPr>
          <w:p>
            <w:pPr>
              <w:spacing w:after="0"/>
              <w:rPr>
                <w:sz w:val="10"/>
                <w:szCs w:val="10"/>
                <w:color w:val="auto"/>
              </w:rPr>
            </w:pPr>
          </w:p>
        </w:tc>
        <w:tc>
          <w:tcPr>
            <w:tcW w:w="10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jc w:val="right"/>
              <w:ind w:right="532"/>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r>
      <w:tr>
        <w:trPr>
          <w:trHeight w:val="173"/>
        </w:trPr>
        <w:tc>
          <w:tcPr>
            <w:tcW w:w="746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249,103</w:t>
            </w: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244,240</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173,460</w:t>
            </w:r>
          </w:p>
        </w:tc>
        <w:tc>
          <w:tcPr>
            <w:tcW w:w="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170,454</w:t>
            </w:r>
          </w:p>
        </w:tc>
        <w:tc>
          <w:tcPr>
            <w:tcW w:w="100" w:type="dxa"/>
            <w:vAlign w:val="bottom"/>
          </w:tcPr>
          <w:p>
            <w:pPr>
              <w:spacing w:after="0"/>
              <w:rPr>
                <w:sz w:val="18"/>
                <w:szCs w:val="18"/>
                <w:color w:val="auto"/>
              </w:rPr>
            </w:pPr>
          </w:p>
        </w:tc>
      </w:tr>
      <w:tr>
        <w:trPr>
          <w:trHeight w:val="209"/>
        </w:trPr>
        <w:tc>
          <w:tcPr>
            <w:tcW w:w="7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75,643</w:t>
            </w:r>
          </w:p>
        </w:tc>
        <w:tc>
          <w:tcPr>
            <w:tcW w:w="3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Payroll</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Rent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23,398</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Nonrecurring operating expenses (1)</w:t>
            </w:r>
          </w:p>
        </w:tc>
        <w:tc>
          <w:tcPr>
            <w:tcW w:w="10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Pre-opening (2)</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operating (3)</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100" w:type="dxa"/>
            <w:vAlign w:val="bottom"/>
          </w:tcPr>
          <w:p>
            <w:pPr>
              <w:spacing w:after="0"/>
              <w:rPr>
                <w:sz w:val="18"/>
                <w:szCs w:val="18"/>
                <w:color w:val="auto"/>
              </w:rPr>
            </w:pPr>
          </w:p>
        </w:tc>
      </w:tr>
      <w:tr>
        <w:trPr>
          <w:trHeight w:val="209"/>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95,256</w:t>
            </w: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94,413</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(19,613)</w:t>
            </w:r>
          </w:p>
        </w:tc>
        <w:tc>
          <w:tcPr>
            <w:tcW w:w="5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(20,627)</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18"/>
                <w:szCs w:val="18"/>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0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(22,584)</w:t>
            </w:r>
          </w:p>
        </w:tc>
        <w:tc>
          <w:tcPr>
            <w:tcW w:w="5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(23,535)</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(1,330)</w:t>
            </w:r>
          </w:p>
        </w:tc>
        <w:tc>
          <w:tcPr>
            <w:tcW w:w="5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(5,469)</w:t>
            </w:r>
          </w:p>
        </w:tc>
      </w:tr>
      <w:tr>
        <w:trPr>
          <w:trHeight w:val="20"/>
        </w:trPr>
        <w:tc>
          <w:tcPr>
            <w:tcW w:w="74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1040" w:type="dxa"/>
            <w:vAlign w:val="bottom"/>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(21,254)</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(18,066)</w:t>
            </w: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-2117090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100" w:hanging="512"/>
        <w:spacing w:after="0" w:line="26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certain expenses the Company believes fall outside of typical costs related to normal operating conditions including executive transition costs.</w:t>
      </w: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due to the opening of new store locations.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expenses in Other operating, include: marketing, credit card fees, utilities, insurance, software support, consulting and legal.</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 May 3, 2025 and February 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May 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5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2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25,000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r>
      <w:tr>
        <w:trPr>
          <w:trHeight w:val="20"/>
        </w:trPr>
        <w:tc>
          <w:tcPr>
            <w:tcW w:w="5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12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24,146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24,067</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24,146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24,067</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July 30, 2024, Sportsman’s Warehouse, Inc. (“SWI”) a wholly owned subsidiary of Holdings, as lead borrower, Holdings, as guarantor, and other subsidiaries of Holdings, each as borrowers, and PLC Agent LLC (the “Pathlight Agent”), as administrative and collateral agent for various lenders affiliated with Pathlight Capital (the “ABL Lenders”), entered into an ABL Term Loan Credit Agreement (the “Term Loan Agreement”) that governs the Company's term loan (the “Term Loan”). The Term Loan provides for a senior secured term loan credit facility in an aggregate principal amount of $45,000, consisting of $25,000 in initial ABL term loans that were made by the ABL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Lenders on July 30, 2024 and $20,000 in delayed draw ABL term loans. The $25,000 in proceeds from the initial ABL term loans were used to repay obligations under the Revolving Line of Credit described in Note 9.</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March 31, 2025, SWI, as lead borrower, Holdings, as guarantor, and other subsidiaries of Holdings, each as borrowers, and the ABL Lenders, entered into the First Amendment to the Term Loan Credit Agreement (the “First Amended Term Loan Agreement”). The First Amended Term Loan Agreement extended the end date of the lenders’ commitment for the Company’s $20 million delayed draw ABL term loan from April 30, 2025 to July 31, 2025.</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incurred deferred financing costs and discounts related to the Term Loan of approximately $1,136. These costs offset the recorded carrying amount of the Term Loan on the condensed consolidated balance sheet and are amortized to interest expense over the life of the Term Loan. As of each of May 3, 2025 and February 1, 2025, the Company had $25,000 in outstanding loans under the Term Loan. As of May 3, 2025, the Company had $18,000 available for borrowing under the Term Loan, calculated based upon certain borrowing base restrictions.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availability of loans under the Term Loan is subject to a borrowing base calculation based on eligible credit card receivables, eligible inventory, the revolving borrowing base determined under the Revolving Line of Credit, and reserves. The Term Loan has a stated maturity date of the earlier of July 30, 2029 or the maturity date of the Revolving Line of Credit (described below). Borrowings under the Term Loan bear interest at a rate equal to the greater of a floor rate of 3.0% or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 The interest rate on the amounts outstanding under the Term Loan as of May 3, 2025 was 10.42%.</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specified exceptions, SWI and the other borrowers may be required to make mandatory prepayments under the Term Loan in the event of certain dispositions of certain property or assets, in the event of receipt of certain tax refunds,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1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the Term Loan contains customary affirmative and negative covenants, including covenants that limit the ability of the Company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Term Loan also requires the Company to maintain a minimum availability at all times of not less than the greater of $30,000 and 10% of the gross borrowing base and contains customary events of default, including defaults triggered by defaults under the Revolving Line of Credit.</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Term Loan, and all obligations under the Term Loan are guaranteed by Holdings. All of the obligations under the Term Loan are secured by a lien on substantially all of Holdings’ assets and the assets of all of Holdings’ subsidiaries, including a pledge of all capital stock of each of Holdings’ subsidiaries. The lien securing the obligations under the Term Loan is a first priority lien as to equipment, fixtures, intellectual property and equity interests.</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May 3, 2025 and February 1, 2025, the Company had $854 and $933, respectively, in outstanding deferred financing fees and discounts related to the Term Loan. During the 13 weeks ended May 3, 2025, the Company recognized $102 of non-cash interest expense with regard to the amortization of deferred financing fees and discounts. During the 13 and weeks ended May 4, 2024, the Company did not recognize any non-cash interest expense related to a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minimum payments on outstanding long-term debt were as follows as of May 3,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Minimum Payments</w:t>
            </w:r>
          </w:p>
        </w:tc>
        <w:tc>
          <w:tcPr>
            <w:tcW w:w="100" w:type="dxa"/>
            <w:vAlign w:val="bottom"/>
          </w:tcPr>
          <w:p>
            <w:pPr>
              <w:spacing w:after="0"/>
              <w:rPr>
                <w:sz w:val="15"/>
                <w:szCs w:val="15"/>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w:t>
            </w:r>
          </w:p>
        </w:tc>
        <w:tc>
          <w:tcPr>
            <w:tcW w:w="8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Revolving Line of Credit</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SWI, as lead borrower, Holdings, and other subsidiaries of Holdings, each as borrowers, and Wells Fargo Bank, National Association (“Wells Fargo”), as administrative agent, collateral agent, swing line lender, letter of credit issuer and lender, with a consortium of banks led by Wells Fargo, entered into a Second Amendment to Amended and Restated Credit Agreement (the “Second Amendment”). Through the Second Amendment, the parties agreed to amend the Amended and Restated Credit Agreement, dated as of May 23, 2018, as previously amended May 17, 2022 by and among SWI, as lead borrower, and Wells Fargo, as agent and a lender, and the other parties listed on the signature pages thereto (as amended, including by the Second Amendment, the “Revolving Line of Credit Agreement”) that governs the Company's revolving line of credit (the “Revolving Line of Credit”).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did not incur any additional fees related to the Revolving Line of Credit and will continue to amortize the prior recorded fees of $508 paid to various parties which were capitalized in association with the May 17, 2022 amendment. Fees associated with the Revolving Line of Credit were recorded in prepaid expenses and other assets.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May 3, 2025 and February 1, 2025, the Company had $155,500 and $88,260, respectively, in outstanding revolving loans under the Revolving Line of Credit. Amounts outstanding are offset on the condensed consolidated balance sheets by amounts in depository accounts under lock-box type arrangements, which were $13,636 and $13,654 as of May 3, 2025 and February 1, 2025, respectively. As of May 3, 2025, the Company had $100,525 available for borrowing under the Revolving Line of Credit, calculated based upon certain borrowing base restrictions and stand-by commercial letters of credit of $2,337 under the terms of the Revolving Line of Credit.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Revolving Line of Credit Agreement), at the Company’s option, in each case plus an applicable margin. The base rate is the greatest of (1) the floor rate (as defined in the Revolving Line of Credit Agreement as a rate of interest equal to 0.0%) (2) Wells Fargo’s prime rate, (3) the federal funds rate (as defined in the Revolving Line of Credit Agreement) plus 0.50% or (4) the one-month Term SOFR (as defined in the Revolving Line of Credit)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 The interest rate on the amounts outstanding under the Revolving Line of Credit as of May 3, 2025 and February 1, 2025 was 5.98% and 5.74%, respectively.</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Revolving Line of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Line of Credit Agreement also requires the Company to maintain a minimum availability at all times of not less than 10% of the gross borrowing base and contains customary events of default, including defaults triggered by defaults under the Term Loan. As of May 3, 2025, the Company held approximately $416,400 in collateralized eligible inventory and credit card receivables related to the Term Loan and the Revolving Line of Credit. The Revolving Line of Credit matures on May 27, 2027.</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May 3, 2025 and February 1, 2025, the Company had $314 and $352, respectively, in outstanding deferred financing fees. During the 13 weeks ended May 3, 2025 and May 4, 2024, the Company recognized $38 and $38, respectively, of non-cash interest expense with regard to the amortization of deferred financing fees.</w:t>
      </w:r>
    </w:p>
    <w:p>
      <w:pPr>
        <w:spacing w:after="0" w:line="176"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During the 13 weeks ended May 3, 2025 and May 4, 2024, gross borrowings under the Revolving Line of Credit were $340,138 and $307,715, respectively. During the 13 weeks ended May 3, 2025 and May 4, 2024, gross paydowns under the Revolving Line of Credit were $274,919 and $269,595,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of the Term Loan and the Revolving Line of Credit restrict all of the net assets of the Company’s consolidated subsidiaries, which constitute all of the net assets on the Company’s condensed consolidated balance sheet as of May 3, 2025, from being used to pay any dividends without prior written consent from the financial institutions party to the respective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13 weeks ended May 3, 2025 and May 4, 2024, the Company recognized income tax benefit of $1,330 and $5,469, respectively. The Company's effective tax rate during the 13 weeks ended May 3, 2025 and May 4, 2024 was 5.9% and 23.2%, respectively. The Company’s effective tax rate will generally differ from the U.S. Federal statutory rate of 21.0%, due to state taxes, permanent items, and discrete items relating to stock award deductions.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736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jc w:val="right"/>
              <w:ind w:right="575"/>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r>
      <w:tr>
        <w:trPr>
          <w:trHeight w:val="173"/>
        </w:trPr>
        <w:tc>
          <w:tcPr>
            <w:tcW w:w="7360" w:type="dxa"/>
            <w:vAlign w:val="bottom"/>
          </w:tcPr>
          <w:p>
            <w:pPr>
              <w:spacing w:after="0"/>
              <w:rPr>
                <w:sz w:val="15"/>
                <w:szCs w:val="15"/>
                <w:color w:val="auto"/>
              </w:rPr>
            </w:pPr>
          </w:p>
        </w:tc>
        <w:tc>
          <w:tcPr>
            <w:tcW w:w="1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4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(21,254)</w:t>
            </w:r>
          </w:p>
        </w:tc>
        <w:tc>
          <w:tcPr>
            <w:tcW w:w="78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(18,066)</w:t>
            </w:r>
          </w:p>
        </w:tc>
      </w:tr>
      <w:tr>
        <w:trPr>
          <w:trHeight w:val="197"/>
        </w:trPr>
        <w:tc>
          <w:tcPr>
            <w:tcW w:w="7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1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top w:val="single" w:sz="8" w:color="auto"/>
              <w:bottom w:val="single" w:sz="8" w:color="auto"/>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1120" w:type="dxa"/>
            <w:vAlign w:val="bottom"/>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780" w:type="dxa"/>
            <w:vAlign w:val="bottom"/>
            <w:gridSpan w:val="2"/>
          </w:tcPr>
          <w:p>
            <w:pPr>
              <w:jc w:val="right"/>
              <w:ind w:right="5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(0.48)</w:t>
            </w:r>
          </w:p>
        </w:tc>
      </w:tr>
      <w:tr>
        <w:trPr>
          <w:trHeight w:val="20"/>
        </w:trPr>
        <w:tc>
          <w:tcPr>
            <w:tcW w:w="7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112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780" w:type="dxa"/>
            <w:vAlign w:val="bottom"/>
            <w:gridSpan w:val="2"/>
            <w:shd w:val="clear" w:color="auto" w:fill="CFF0FC"/>
          </w:tcPr>
          <w:p>
            <w:pPr>
              <w:jc w:val="right"/>
              <w:ind w:right="5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(0.48)</w:t>
            </w:r>
          </w:p>
        </w:tc>
      </w:tr>
      <w:tr>
        <w:trPr>
          <w:trHeight w:val="197"/>
        </w:trPr>
        <w:tc>
          <w:tcPr>
            <w:tcW w:w="73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Restricted stock units considered anti-dilutive and excluded in the calculation</w:t>
            </w:r>
          </w:p>
        </w:tc>
        <w:tc>
          <w:tcPr>
            <w:tcW w:w="1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1,712</w:t>
            </w: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FF0FC"/>
            </w:tcBorders>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-1096645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-1079500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-513715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-496570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780" w:firstLine="8"/>
        <w:spacing w:after="0" w:line="377" w:lineRule="auto"/>
        <w:tabs>
          <w:tab w:leader="none" w:pos="34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spacing w:after="0" w:line="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13 weeks ended May 3, 2025 and May 4, 2024, the Company recognized total stock-based compensation expense of $793 and $1,174, respectively. Compensation expense related to the Company’s stock-based payment awards is recognized in selling, general, and administrative expenses in the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May 3, 2025, the number of shares available for awards under the Amended and Restated 2019 Performance Incentive Plan (as amended and restated, the “Amended 2019 Plan”) was 1,954. As of May 3, 2025, there were 2,022 unvested stock awards outstanding under the 2019 Plan.</w:t>
      </w:r>
    </w:p>
    <w:p>
      <w:pPr>
        <w:spacing w:after="0" w:line="5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Upon effectiveness of the Amended 2019 Plan on May 30, 2024, the date of the Company's 2024 Annual Meeting, the Company's authority to grant new awards under the Inducement Plan terminated, and a total of 545,293 shares of Common Stock that had been available for new award grants under the Inducement Plan immediately prior to the 2024 Annual Meeting became available for award grants under the Amended 2019 Plan. As provided in the Amended 2019 Plan, any shares of the Company's common stock subject to awards (other than stock options and stock appreciation rights) granted under the Inducement Plan that were outstanding and unvested immediately prior to the 2024 Annual Meeting that are forfeited, terminated, cancelled or otherwise reacquired by the Company without having become vested plus any shares that are withheld or reacquired by the Company to satisfy the tax withholding obligations related to any awards (other than stock options and stock appreciation rights) granted under the Inducement Plan that were outstanding immediately prior to the 2024 Annual Meeting will be available for award grant purposes under the Amended 2019 Plan. As of the date of the 2024 Annual Meeting, a total of 454,707 shares were subject to awards then outstanding under the Inducement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also maintains an Amended and Rested Employee Stock Purchase Plan (the “ESPP”) that was approved by the Company’s stockholders in fiscal year 2015, under which 1,600 shares of common stock were authorized. During the 13 weeks ended May 3, 2025, no shares were issued under the ESPP and, as of May 3, 2025, the number of shares available for issuance was 771.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weeks ended May 3, 2025, the Company did not issue any nonvested performance-based stock awards to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13 weeks ended May 4, 2024, the Company issued 874 nonvested performance-based stock awards to employees at a weighted average grant date fair value of $3.09 per share. The nonvested performance-based stock awards issued to employees vest in full on the third anniversary of the grant date. The number of shares issued was contingent on management achieving a fiscal year 2024 performance target for earnings before interest, taxes, depreciation and amortization expenses. If a minimum threshold performance target is not achieved, no shares would vest. The maximum number of shares subject to the award was 874. Following the end of the performance period for fiscal year 2024, the fiscal year performance targets were not met and all shares were forfeited as of February 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May 3, 2025</w:t>
            </w:r>
          </w:p>
        </w:tc>
        <w:tc>
          <w:tcPr>
            <w:tcW w:w="34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320"/>
        </w:trPr>
        <w:tc>
          <w:tcPr>
            <w:tcW w:w="4700" w:type="dxa"/>
            <w:vAlign w:val="bottom"/>
            <w:tcBorders>
              <w:top w:val="single" w:sz="8" w:color="CFF0FC"/>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3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3020" w:type="dxa"/>
            <w:vAlign w:val="bottom"/>
            <w:tcBorders>
              <w:right w:val="single" w:sz="8" w:color="CFF0FC"/>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0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May 4, 2024</w:t>
            </w:r>
          </w:p>
        </w:tc>
        <w:tc>
          <w:tcPr>
            <w:tcW w:w="302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-1268095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During the 13 weeks ended May 3, 2025, the Company issued 835 nonvested stock units to employees at a weighted average grant date fair value of $1.02 per share. The shares vest over a three-year period with one third of the shares vesting on each anniversary of the grant date.</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13 weeks ended May 4, 2024, the Company issued 1,087 nonvested stock units to employees at a weighted average grant date fair value of $3.10 per share. The shares vest over a three-year period with one third of the shares vesting on each anniversary of the grant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 (per share amounts are not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1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center"/>
              <w:ind w:right="5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13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1,700</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835</w:t>
            </w:r>
          </w:p>
        </w:tc>
        <w:tc>
          <w:tcPr>
            <w:tcW w:w="620" w:type="dxa"/>
            <w:vAlign w:val="bottom"/>
          </w:tcPr>
          <w:p>
            <w:pPr>
              <w:spacing w:after="0"/>
              <w:rPr>
                <w:sz w:val="18"/>
                <w:szCs w:val="18"/>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3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(27)</w:t>
            </w:r>
          </w:p>
        </w:tc>
        <w:tc>
          <w:tcPr>
            <w:tcW w:w="62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21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(498)</w:t>
            </w:r>
          </w:p>
        </w:tc>
        <w:tc>
          <w:tcPr>
            <w:tcW w:w="620" w:type="dxa"/>
            <w:vAlign w:val="bottom"/>
          </w:tcPr>
          <w:p>
            <w:pPr>
              <w:spacing w:after="0"/>
              <w:rPr>
                <w:sz w:val="18"/>
                <w:szCs w:val="18"/>
                <w:color w:val="auto"/>
              </w:rPr>
            </w:pPr>
          </w:p>
        </w:tc>
        <w:tc>
          <w:tcPr>
            <w:tcW w:w="2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May 3, 2025</w:t>
            </w:r>
          </w:p>
        </w:tc>
        <w:tc>
          <w:tcPr>
            <w:tcW w:w="2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2,010</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845"/>
        </w:trPr>
        <w:tc>
          <w:tcPr>
            <w:tcW w:w="4700" w:type="dxa"/>
            <w:vAlign w:val="bottom"/>
            <w:tcBorders>
              <w:top w:val="single" w:sz="8" w:color="CFF0FC"/>
            </w:tcBorders>
          </w:tcPr>
          <w:p>
            <w:pPr>
              <w:spacing w:after="0"/>
              <w:rPr>
                <w:sz w:val="24"/>
                <w:szCs w:val="24"/>
                <w:color w:val="auto"/>
              </w:rPr>
            </w:pPr>
          </w:p>
        </w:tc>
        <w:tc>
          <w:tcPr>
            <w:tcW w:w="2180" w:type="dxa"/>
            <w:vAlign w:val="bottom"/>
            <w:tcBorders>
              <w:top w:val="single" w:sz="8" w:color="auto"/>
            </w:tcBorders>
          </w:tcPr>
          <w:p>
            <w:pPr>
              <w:jc w:val="right"/>
              <w:ind w:right="1079"/>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tcBorders>
              <w:top w:val="single" w:sz="8" w:color="auto"/>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-1071245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-1053465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Forfeitures</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May 4, 2024</w:t>
            </w: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340" w:firstLine="8"/>
        <w:spacing w:after="0" w:line="378" w:lineRule="auto"/>
        <w:tabs>
          <w:tab w:leader="none" w:pos="34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68"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 xml:space="preserve">On January 22, 2024, Jon Kogut filed a putative class action lawsuit against the Company and the members of its Board of Directors in the Delaware Court of Chancery (the “2024 Delaware Litigation”). The lawsuit asserts claims on behalf of a putative class comprised of all stockholders other than defendants and any current directors or officers of the Company and is captioned </w:t>
      </w:r>
      <w:r>
        <w:rPr>
          <w:rFonts w:ascii="Times New Roman" w:cs="Times New Roman" w:eastAsia="Times New Roman" w:hAnsi="Times New Roman"/>
          <w:sz w:val="18"/>
          <w:szCs w:val="18"/>
          <w:i w:val="1"/>
          <w:iCs w:val="1"/>
          <w:color w:val="auto"/>
        </w:rPr>
        <w:t>Kogut v. Bejar, et al.</w:t>
      </w:r>
      <w:r>
        <w:rPr>
          <w:rFonts w:ascii="Times New Roman" w:cs="Times New Roman" w:eastAsia="Times New Roman" w:hAnsi="Times New Roman"/>
          <w:sz w:val="18"/>
          <w:szCs w:val="18"/>
          <w:color w:val="auto"/>
        </w:rPr>
        <w:t>, C.A. No. 2024-0055-MTZ (Del. Ch.). In his complaint, Mr.</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Kogut contends that certain provisions in the Company’s advance notice bylaws (the “Challenged Provisions”) are invalid and void and that the members of the Board have breached their fiduciary duty of loyalty by adopting and maintaining the Challenged Provisions. In addition to seeking declaratory, equitable, and injunctive relief, Mr. Kogut seeks an award of attorneys’ fees and other costs and expenses on behalf of the putative class. On March 27, 2025, the Court stayed the action pending the resolution of motions to dismiss in other cases challenging advance notice bylaws.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2024 Form 10-K. Also see “Special Note Regarding Forward-Looking Statements” preceding Part I. of this 10-Q. Additionally, our historical results are not necessarily indicative of the results that may be expected or achieved for any future period.</w:t>
      </w:r>
    </w:p>
    <w:p>
      <w:pPr>
        <w:spacing w:after="0" w:line="180"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146 stores in 32 states, totaling approximately 5.4 million gross square feet. We also operate an e-commerce platform at www.sportsmans.com. We do not incorporate the information on or accessible through our website into this 10-Q, and you should not consider any information on, or that can be accessed through, our website as part of this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 Global economic and business activities continue to face widespread macroeconomic uncertainties, including the impact of international trade policies and increased tariff rates, inflation, elevated interest rates, recession risks and rising global political tensions.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Recent changes in international trade policy and the implementation of increased tariff rates have caused substantial uncertainty with respect to our inventory cost. If some of the proposed and current changes to international trade and tariff policy are implemented or continue for a significant length of time, we will experience a material increase in our inventory costs, especially in our Hunting and Shooting and Optics, Electronics, Accessories and Other departments. We cannot predict the ultimate impact of such changes on our financial results for the remainder of fiscal year 2025 and beyond since such policies remain highly dynamic and evolving. In the first quarter of fiscal year 2025, we purchased additional inventory in anticipation of increased tariff rates and we expect to purchase additional strategic inventory in the second quarter of fiscal year 2025 in anticipation of further tariff rate increases to be prepared for the hunting and holiday seasons. We will continue to consider other means to mitigate the impact of increased tariff rates, including by seeking alternative sourcing of our products and by negotiating with our suppliers to absorb a portion of increased costs due to changes in tariff rates and trade policy; however, we cannot provide any assurances that we will be successful in such efforts.</w:t>
      </w:r>
    </w:p>
    <w:p>
      <w:pPr>
        <w:spacing w:after="0" w:line="18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since the beginning of fiscal year 2023, our business has been and continues to be impacted by consumer inflationary pressures and recession concerns. As a result, we have implemented cost reduction measures and reduced investments in future new store openings to reflect current sales trends. We did not open any new stores in fiscal year 2024 and we plan to open one new store in fiscal year 2025.</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outfitters, all of</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which are uncertain and cannot be predicted; however, any continued or renewed disruption resulting from these factors could negatively impact our business.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EBITDA, which we define as net loss plus interest expense, income tax benefit, depreciation and amortization, stock-based compensation expense, transition and severance costs related to director and officer transitions, and expenses that we do not believe are indicative of our ongoing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13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2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4" w:lineRule="exact"/>
        <w:rPr>
          <w:sz w:val="20"/>
          <w:szCs w:val="20"/>
          <w:color w:val="auto"/>
        </w:rPr>
      </w:pPr>
    </w:p>
    <w:p>
      <w:pPr>
        <w:ind w:left="1020" w:right="300" w:hanging="368"/>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elevated interest rates, tightening of credit markets, and potential disruptions from the ongoing Russia-Ukraine conflict and rising global political tensions;</w:t>
      </w:r>
    </w:p>
    <w:p>
      <w:pPr>
        <w:spacing w:after="0" w:line="6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7" w:lineRule="exact"/>
        <w:rPr>
          <w:rFonts w:ascii="Times New Roman" w:cs="Times New Roman" w:eastAsia="Times New Roman" w:hAnsi="Times New Roman"/>
          <w:sz w:val="18"/>
          <w:szCs w:val="18"/>
          <w:color w:val="auto"/>
        </w:rPr>
      </w:pPr>
    </w:p>
    <w:p>
      <w:pPr>
        <w:ind w:left="1020" w:right="140" w:hanging="368"/>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instance, in November 2022, Oregon passed a ballot measure that amended Oregon law to prohibit private citizens from manufacturing, importing, possessing, using, purchasing, selling or transferring a magazine capable of holding (or being readily converted to hold) over ten rounds of ammunition. Additionally, this ballot measure also imposed complex permitting and training requirements for the purchase and sale of firearms. On December 6, 2022, a state Circuit Court judge in Oregon preliminarily enjoined the implementation of the ballot measure. On November 21, 2023, the Circuit Court judge permanently enjoined implementation of the ballot measure upon a determination that the ballot measure was facially unconstitutional under Oregon's state constitution. On March 12, 2025, the Oregon Court of Appeals reversed the state Circuit Court judge's permanent injunction, holding that the ballot measure was in fact facially constitutional under Oregon's state constitution. The Oregon Court of Appeals ordered the Circuit Court judge to enter a declaratory judgment consistent with the Court of Appeals’ decision. On April 14, 2025, the plaintiffs filed a petition for review before the Oregon Supreme Court.</w:t>
      </w:r>
    </w:p>
    <w:p>
      <w:pPr>
        <w:spacing w:after="0" w:line="18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believe the injunction of the Oregon ballot measure remains temporarily in effect pending a determination on the plaintiff’s petition for review before the Oregon Supreme Court. There is also a pending bill in the Oregon House (HB 3075) that seeks to delay and modify the implementation of the ballot measure’s permitting requirement and establish certain exemptions. This ballot measure is also being challenged in a related case in federal court that is presently on appeal before the U.S. Court of Appeals for the Ninth Circuit. However, due to a recent ruling upholding a similar magazine capacity restriction case in California (</w:t>
      </w:r>
      <w:r>
        <w:rPr>
          <w:rFonts w:ascii="Times New Roman" w:cs="Times New Roman" w:eastAsia="Times New Roman" w:hAnsi="Times New Roman"/>
          <w:sz w:val="18"/>
          <w:szCs w:val="18"/>
          <w:i w:val="1"/>
          <w:iCs w:val="1"/>
          <w:color w:val="auto"/>
        </w:rPr>
        <w:t>Virginia Duncan, et al. v. Rob Bonta</w:t>
      </w:r>
      <w:r>
        <w:rPr>
          <w:rFonts w:ascii="Times New Roman" w:cs="Times New Roman" w:eastAsia="Times New Roman" w:hAnsi="Times New Roman"/>
          <w:sz w:val="18"/>
          <w:szCs w:val="18"/>
          <w:color w:val="auto"/>
        </w:rPr>
        <w:t>, No. 23-55805 (9th Cir. 2023)), we believe it is unlikely that the ballot measure will be struck down by the U.S. Court of Appeals for the Ninth Circuit.</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While we believe the injunction of the Oregon ballot measure remains in effect until the Oregon Supreme Court decides on the plaintiff’s petition for review, the ballot measure could still be found constitutional and implemented in its current form. We currently operate eight stores in the State of Oregon. If the ballot measure is allowed to take effect, whether because the Oregon Supreme Court denies the petition for review or ultimately upholds the Oregon Court of Appeals March 12, 2025 order, sales of firearms in Oregon may be halted or substantially diminished unless all permitting and training programs are fully developed by the state and/or law enforcement agencies at the time the ballot measure takes effect. If delays in establishing such permitting and training programs occur, it could result in a substantial decline in our sales of firearms and related products and reduce traffic to our stores in Oregon, which would significantly impact on our sales and gross margin.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Opening new stores and acquiring store locations is also an important part of our long-term growth strategy. During fiscal year 2024, we did not open any new stores. We plan to open one new store in fiscal year 2025. We may deviate from this target if attractive opportunities are presented to open stores or acquire new store locations outside of our target growth 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117" w:lineRule="exact"/>
        <w:rPr>
          <w:sz w:val="20"/>
          <w:szCs w:val="20"/>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7" w:lineRule="exact"/>
        <w:rPr>
          <w:rFonts w:ascii="Times New Roman" w:cs="Times New Roman" w:eastAsia="Times New Roman" w:hAnsi="Times New Roman"/>
          <w:sz w:val="18"/>
          <w:szCs w:val="18"/>
          <w:color w:val="auto"/>
        </w:rPr>
      </w:pPr>
    </w:p>
    <w:p>
      <w:pPr>
        <w:ind w:left="840" w:right="120" w:hanging="368"/>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53"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refined product assortment, expanded content and expertise and better user experience;</w:t>
      </w:r>
    </w:p>
    <w:p>
      <w:pPr>
        <w:spacing w:after="0" w:line="11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strong community connections and be the local choice for hunting and fishing solutions;</w:t>
      </w:r>
    </w:p>
    <w:p>
      <w:pPr>
        <w:spacing w:after="0" w:line="11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w:t>
      </w:r>
    </w:p>
    <w:p>
      <w:pPr>
        <w:spacing w:after="0" w:line="117"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We focus our buying on core items, high-turning products and seasonally relevant merchandise, particularly in ammunition, fishing, camping and personal protection, as these are areas where customer demand is more predictable and where having products in stock matters most to our customers. Successful inventory management ensures we have sufficient high margin products in stock to meet customer demand, while overstocking of items can lead to markdowns in order to help a product sell. This is especially true with respect to our more in demand inventory, with approximately 20% of our products accounting for approximately 80% of our net sales. Despite our decision to pull forward inventory purchases, we anticipate ending fiscal year 2025 with lower total inventory than fiscal year 2024.</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fiscal year 2024 and continuing into the first quarter of fiscal year 2025, elevated inflation has adversely impacted our gross margins. In fiscal year 2025, we anticipate modest improvements in our gross margins, driven by continued careful management of variable expenses. However, during the first quarter of fiscal year 2025, these improvements were negatively impacted by our decision to pull forward inventory purchases in anticipation of increased tariffs.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Gross margins may continue to be affected by the evolving implementation of these higher tariff rates.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loss plus interest expense, income tax benefit, depreciation and amortization, stock-based compensation expense, transition and severance costs related to director and officer transitions, and expenses that we do not believe are indicative of our ongoing expenses. We define Adjusted EBITDA margin as Adjusted EBITDA divided by net sales. In evaluating our business, we use Adjusted EBITDA and Adjusted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EBITDA margin as additional measurement tools for purposes of business decision-making, including evaluating store performance, developing budgets and managing expenditures. See “—Non-GAAP Financial Measures.”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1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760" w:type="dxa"/>
            <w:vAlign w:val="bottom"/>
          </w:tcPr>
          <w:p>
            <w:pPr>
              <w:spacing w:after="0"/>
              <w:rPr>
                <w:sz w:val="10"/>
                <w:szCs w:val="10"/>
                <w:color w:val="auto"/>
              </w:rPr>
            </w:pPr>
          </w:p>
        </w:tc>
        <w:tc>
          <w:tcPr>
            <w:tcW w:w="1700" w:type="dxa"/>
            <w:vAlign w:val="bottom"/>
            <w:tcBorders>
              <w:top w:val="single" w:sz="8" w:color="auto"/>
            </w:tcBorders>
          </w:tcPr>
          <w:p>
            <w:pPr>
              <w:jc w:val="center"/>
              <w:ind w:left="611"/>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420" w:type="dxa"/>
            <w:vAlign w:val="bottom"/>
            <w:tcBorders>
              <w:top w:val="single" w:sz="8" w:color="auto"/>
            </w:tcBorders>
          </w:tcPr>
          <w:p>
            <w:pPr>
              <w:jc w:val="right"/>
              <w:ind w:right="91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20" w:type="dxa"/>
            <w:vAlign w:val="bottom"/>
          </w:tcPr>
          <w:p>
            <w:pPr>
              <w:spacing w:after="0"/>
              <w:rPr>
                <w:sz w:val="10"/>
                <w:szCs w:val="10"/>
                <w:color w:val="auto"/>
              </w:rPr>
            </w:pPr>
          </w:p>
        </w:tc>
      </w:tr>
      <w:tr>
        <w:trPr>
          <w:trHeight w:val="173"/>
        </w:trPr>
        <w:tc>
          <w:tcPr>
            <w:tcW w:w="5760" w:type="dxa"/>
            <w:vAlign w:val="bottom"/>
          </w:tcPr>
          <w:p>
            <w:pPr>
              <w:spacing w:after="0"/>
              <w:rPr>
                <w:sz w:val="15"/>
                <w:szCs w:val="15"/>
                <w:color w:val="auto"/>
              </w:rPr>
            </w:pPr>
          </w:p>
        </w:tc>
        <w:tc>
          <w:tcPr>
            <w:tcW w:w="1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2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210"/>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2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8"/>
                <w:szCs w:val="18"/>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2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FF0FC"/>
          </w:tcPr>
          <w:p>
            <w:pPr>
              <w:spacing w:after="0"/>
              <w:rPr>
                <w:sz w:val="18"/>
                <w:szCs w:val="18"/>
                <w:color w:val="auto"/>
              </w:rPr>
            </w:pPr>
          </w:p>
        </w:tc>
        <w:tc>
          <w:tcPr>
            <w:tcW w:w="2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76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2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57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7"/>
        </w:trPr>
        <w:tc>
          <w:tcPr>
            <w:tcW w:w="5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7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FF0FC"/>
          </w:tcPr>
          <w:p>
            <w:pPr>
              <w:spacing w:after="0"/>
              <w:rPr>
                <w:sz w:val="18"/>
                <w:szCs w:val="18"/>
                <w:color w:val="auto"/>
              </w:rPr>
            </w:pPr>
          </w:p>
        </w:tc>
        <w:tc>
          <w:tcPr>
            <w:tcW w:w="26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-1182370</wp:posOffset>
            </wp:positionV>
            <wp:extent cx="1460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-1182370</wp:posOffset>
            </wp:positionV>
            <wp:extent cx="1454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-899795</wp:posOffset>
            </wp:positionV>
            <wp:extent cx="1460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-899795</wp:posOffset>
            </wp:positionV>
            <wp:extent cx="1454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-334010</wp:posOffset>
            </wp:positionV>
            <wp:extent cx="1460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-334010</wp:posOffset>
            </wp:positionV>
            <wp:extent cx="1454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1460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1460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40" w:type="dxa"/>
            <w:vAlign w:val="bottom"/>
          </w:tcPr>
          <w:p>
            <w:pPr>
              <w:spacing w:after="0"/>
              <w:rPr>
                <w:sz w:val="10"/>
                <w:szCs w:val="10"/>
                <w:color w:val="auto"/>
              </w:rPr>
            </w:pPr>
          </w:p>
        </w:tc>
        <w:tc>
          <w:tcPr>
            <w:tcW w:w="412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vMerge w:val="restart"/>
          </w:tcPr>
          <w:p>
            <w:pPr>
              <w:spacing w:after="0"/>
              <w:rPr>
                <w:sz w:val="10"/>
                <w:szCs w:val="10"/>
                <w:color w:val="auto"/>
              </w:rPr>
            </w:pPr>
          </w:p>
        </w:tc>
        <w:tc>
          <w:tcPr>
            <w:tcW w:w="920" w:type="dxa"/>
            <w:vAlign w:val="bottom"/>
          </w:tcPr>
          <w:p>
            <w:pPr>
              <w:jc w:val="center"/>
              <w:ind w:left="350"/>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351"/>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80" w:type="dxa"/>
            <w:vAlign w:val="bottom"/>
            <w:gridSpan w:val="2"/>
          </w:tcPr>
          <w:p>
            <w:pPr>
              <w:spacing w:after="0"/>
              <w:rPr>
                <w:sz w:val="15"/>
                <w:szCs w:val="15"/>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4380" w:type="dxa"/>
            <w:vAlign w:val="bottom"/>
            <w:gridSpan w:val="3"/>
            <w:shd w:val="clear" w:color="auto" w:fill="CFF0FC"/>
          </w:tcPr>
          <w:p>
            <w:pPr>
              <w:ind w:left="140"/>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 coolers,</w:t>
            </w: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18"/>
                <w:szCs w:val="18"/>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outdoor cooking equipment, sleeping bags, tents and</w:t>
            </w: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FF0FC"/>
          </w:tcPr>
          <w:p>
            <w:pPr>
              <w:spacing w:after="0"/>
              <w:rPr>
                <w:sz w:val="20"/>
                <w:szCs w:val="20"/>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tools</w:t>
            </w: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Apparel</w:t>
            </w:r>
          </w:p>
        </w:tc>
        <w:tc>
          <w:tcPr>
            <w:tcW w:w="43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4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9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8"/>
        </w:trPr>
        <w:tc>
          <w:tcPr>
            <w:tcW w:w="3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Fishing</w:t>
            </w:r>
          </w:p>
        </w:tc>
        <w:tc>
          <w:tcPr>
            <w:tcW w:w="4380" w:type="dxa"/>
            <w:vAlign w:val="bottom"/>
            <w:gridSpan w:val="3"/>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FF0FC"/>
          </w:tcPr>
          <w:p>
            <w:pPr>
              <w:spacing w:after="0"/>
              <w:rPr>
                <w:sz w:val="20"/>
                <w:szCs w:val="20"/>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Footwear</w:t>
            </w:r>
          </w:p>
        </w:tc>
        <w:tc>
          <w:tcPr>
            <w:tcW w:w="43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4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9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3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Hunting and Shooting</w:t>
            </w:r>
          </w:p>
        </w:tc>
        <w:tc>
          <w:tcPr>
            <w:tcW w:w="4380" w:type="dxa"/>
            <w:vAlign w:val="bottom"/>
            <w:gridSpan w:val="3"/>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18"/>
                <w:szCs w:val="18"/>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tree stands, decoys, firearms, reloading equipment</w:t>
            </w: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shd w:val="clear" w:color="auto" w:fill="CFF0FC"/>
          </w:tcPr>
          <w:p>
            <w:pPr>
              <w:spacing w:after="0"/>
              <w:rPr>
                <w:sz w:val="20"/>
                <w:szCs w:val="20"/>
                <w:color w:val="auto"/>
              </w:rPr>
            </w:pPr>
          </w:p>
        </w:tc>
        <w:tc>
          <w:tcPr>
            <w:tcW w:w="43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shooting gear</w:t>
            </w: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Optics, Electronics, Accessories, and Other</w:t>
            </w:r>
          </w:p>
        </w:tc>
        <w:tc>
          <w:tcPr>
            <w:tcW w:w="43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4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920" w:type="dxa"/>
            <w:vAlign w:val="bottom"/>
          </w:tcPr>
          <w:p>
            <w:pPr>
              <w:spacing w:after="0"/>
              <w:rPr>
                <w:sz w:val="18"/>
                <w:szCs w:val="18"/>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4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discounts</w:t>
            </w:r>
          </w:p>
        </w:tc>
        <w:tc>
          <w:tcPr>
            <w:tcW w:w="9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spacing w:after="0"/>
              <w:rPr>
                <w:sz w:val="19"/>
                <w:szCs w:val="19"/>
                <w:color w:val="auto"/>
              </w:rPr>
            </w:pPr>
          </w:p>
        </w:tc>
        <w:tc>
          <w:tcPr>
            <w:tcW w:w="4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May 3, 2025 Compared to Thirteen Weeks Ended May 4, 2024</w:t>
      </w:r>
    </w:p>
    <w:p>
      <w:pPr>
        <w:spacing w:after="0" w:line="117"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increased by $4.9 million, or 2.0%, to $249.1 million during the 13 weeks ended May 3,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$244.2 million in the corresponding period of fiscal year 2024. Our net sales increased primarily due to increased sales in our Fishing and Hunting and Shooting departments as we continue to emphasize inventory in-stocks to ensure we have the right inventory at the right location at the right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E-commerce driven sales comprised more than 20% of total sales for the 13 weeks ended May 3, 2025 and increased by approximately 8% compared to the corresponding period in fiscal year 2024. Same store sales increased by 2.0% during the 13 weeks ended May 3, 2025 compared to the corresponding 13-week period of fiscal year 2024, primarily as a result of our inventory management efforts.</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Fishing, Hunting and Shooting, Apparel and Footwear departments saw net sales increases of $3.0 million, $2.4 million, $0.8 million and $0.2 million, respectively, during the 13 weeks ended May 3, 2025 compared to the corresponding period of fiscal year 2024 primarily driven by increased unit sales due to our continued emphasis on maintaining sufficient inventory in-stocks of core items. Our Camping and Optics, Electronics, Accessories and Other departments saw net sales decreases of $1.3 million and $0.2 million, respectively, during the 13 weeks ended May 3, 2025 compared to the corresponding period of fiscal year 2024. We believe these decreases reflected the impact of broader macroeconomic conditions discussed above. We also believe our Camping department was impacted by the later spring and the timing of the Easter holiday. Within our Hunting and Shooting department, our ammunition category saw an increase of $0.5 million or 1.3% and our firearm category saw a decrease of $0.1 million or 0.1% during the 13 weeks ended May 3, 2025 compared to the corresponding period of fiscal year 2024. The increase in the ammunition category was primarily due to our efforts to ensure every day low pricing in key ammunition groups. The decrease in our firearms category was primarily driven by a shift in consumer behavior to lower cost firearms, however, we continued to consistently outpace the adjusted NICS background check data and gain market share within the firearm space.</w:t>
      </w:r>
    </w:p>
    <w:p>
      <w:pPr>
        <w:spacing w:after="0" w:line="2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13 weeks ended May 3, 2025, our Fishing, Apparel, Hunting and Shooting and Footwear departments saw increases of 11.0%, 5.6%, 1.5% and 1.4%, respectively, compared to the corresponding period of fiscal year 2024. Our Camping and Optics, Electronics, Accessories and Other departments saw same store sales decreases of 5.8% and 1.3%, respectively, during the 13 weeks ended May 3, 2025 compared to the corresponding period of fiscal year 2024. These changes were primarily driven by the items noted above for net sales. As of May 3, 2025, 146 stores were included in our same store sales calculation.</w:t>
      </w:r>
    </w:p>
    <w:p>
      <w:pPr>
        <w:spacing w:after="0" w:line="2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$1.9 million, or 2.5%, to $75.6 million during the 13 weeks ended May 3, 2025 compared to $73.8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of fiscal year 2024. As a percentage of net sales, gross profit increased to 30.4% during the 13 weeks ended May 3, 2025, compared to 30.2% for the corresponding period of fiscal year 2024, primarily driven by favorable mix and rate improvements in our fishing business, which carries a higher gross margin rate profile. This gain was partially offset by increased freight expense tied to our strategic inventory pull-forward in anticipation of higher tariffs and changes to international trade policy.</w:t>
      </w:r>
    </w:p>
    <w:p>
      <w:pPr>
        <w:spacing w:after="0" w:line="20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$0.8 million, or 0.9%, to $95.3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13 weeks ended May 3, 2025, compared to $94.4 million for the corresponding period of fiscal year 2024. This increase was primarily the result of increased payroll and rent expenses of $2.4 million and $0.5 million, respectively, during the 13 weeks ended May 3, 2025. These increases were partially offset by decreases of $1.2 million and $0.5 million in other operating and depreciation expenses, respectively. As a percentage of net sales, selling, general, and administrative expenses decreased to 38.2% of net sales in the first quarter of fiscal year 2025, compared to 38.6% of net sales in the first quarter of fiscal year 2024, reflecting our </w:t>
      </w:r>
      <w:r>
        <w:rPr>
          <w:rFonts w:ascii="Times New Roman" w:cs="Times New Roman" w:eastAsia="Times New Roman" w:hAnsi="Times New Roman"/>
          <w:sz w:val="19"/>
          <w:szCs w:val="19"/>
          <w:color w:val="auto"/>
        </w:rPr>
        <w:t>continued focus on expense management and fixed cost leverage gained from higher sales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by $0.1 million, or 3.4%, to $3 million during the 13 weeks ended May 3, 2025, compared to $2.9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of fiscal year 2024. The increase in interest expense was primarily driven by increased amortization of outstanding deferred financing fees and discounts related to the term loan facility during the first quarter of fiscal year 2025 compared to the corresponding period of fiscal year 2024.</w:t>
      </w:r>
    </w:p>
    <w:p>
      <w:pPr>
        <w:spacing w:after="0" w:line="20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benefit of $1.3 million during the 13 weeks ended May 3, 2025 compared to an income tax benefit of $5.5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corresponding period of fiscal year 2024. Our effective tax rates during the 13 weeks ended May 3, 2025 and May 4, 2024 were 5.9% and 23.2%, respectively. Our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We anticipate our net sales will continue to reflect this seasonal pattern. On average, over the last three fiscal years, we have generated approximately 26.4% and 28.0% of our net sales in the third and fourth fiscal quarters, respectively, which includes the holiday selling season as well as the opening of the Fall hunting season. We anticipate our net sales will continue to reflect this seasonal pattern. However, Spring hunting, Father’s Day and the availability of hunting and fishing throughout the year in many of our markets counterbalance this seasonality to a certain degree.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May 3, 2025, we had cash and cash equivalents of $3.6 million and working capital, consisting of current assets less current liabilities, of $62.9 million. We also had $118.5 million available for borrowing under our senior secured revolving credit facility and our term loan facility as of May 3, 2025, calculated based upon certain borrowing base restrictions for each of the revolving credit facility and term loan facility.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cash requirements are for seasonal working capital needs and capital expenditures related to ongoing operational needs and new system investments. For both the short-term and the long-term, our primary sources of cash are borrowings under our senior secured revolving credit facility, our term loan facility and operating cash flows. We believe that our cash on hand, cash generated by operating activities and funds available under our revolving credit facility and term loan facility will be sufficient to finance our operating activities and meet our cash requirements for at least the next twelve months and beyond. With only one new store planned for fiscal year 2025, we intend to prioritize the repayment of outstanding debt with any excess cash flow.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general operating expenses and other expenses discussed below.</w:t>
      </w:r>
    </w:p>
    <w:p>
      <w:pPr>
        <w:spacing w:after="0" w:line="160"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Operating lease commitments consist principally of leases for our retail stores, corporate office and distribution center.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often include options which allow us to extend the terms beyond the initial lease term. As of May 3, 2025, our expected operating lease payments for the remainder of fiscal year 2025 and fiscal year 2026 are $55.9 million and $74.2 million, respectively. Our total committed operating lease payments are $465.2 million. Other operating lease obligations consist of distribution center equipment. See Note 6, “Leases” to our unaudited condensed consolidated financial statements included in this 10-Q.</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During the 13 weeks ended May 3, 2025, we incurred approximately $3.8 million in capital expenditures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technological investments and general store maintenance. We expect capital expenditures between $20 million and $25 million for fiscal year 2025 (inclusive of amounts spent during the 13 weeks ended May 3, 2025) primarily related to strategic technological investments, such as planogramming, merchandising and replenishment and store scheduling tools, and general store fleet maintenance. We intend to fund these capital expenditures with our operating cash flows, cash on hand and funds available under our revolving credit facility. Other investment opportunities, such as potential strategic acquisitions or store expansion rates in excess of those presently planned, may require additional funding.</w:t>
      </w:r>
    </w:p>
    <w:p>
      <w:pPr>
        <w:spacing w:after="0" w:line="1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and a $45.0 million term loan facility. As of May 3, 2025, $155.5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was outstanding under the revolving credit facility and $25.0 million was outstanding under the term loan facility. Assuming no additional repayments or borrowings on our revolving credit facility and our term loan facility after May 3, 2025, our interest payments would be approximately $8.9 million for the remainder of fiscal year 2025 and approximately $11.9 million for fiscal year 2026, in each case, based on the interest rate as of May 3, 2025. As of May 3, 2025, our weighted average interest rate on the amounts outstanding under our revolving credit facility and term loan facility was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6.59%. See below under “Indebtedness” for additional information regarding our revolving credit facility and term loan facility, including the interest rates applicable to any borrowing under such facilities.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2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0" w:type="dxa"/>
            <w:vAlign w:val="bottom"/>
          </w:tcPr>
          <w:p>
            <w:pPr>
              <w:jc w:val="center"/>
              <w:ind w:left="491"/>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jc w:val="right"/>
              <w:ind w:right="497"/>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100" w:type="dxa"/>
            <w:vAlign w:val="bottom"/>
          </w:tcPr>
          <w:p>
            <w:pPr>
              <w:spacing w:after="0"/>
              <w:rPr>
                <w:sz w:val="10"/>
                <w:szCs w:val="10"/>
                <w:color w:val="auto"/>
              </w:rPr>
            </w:pPr>
          </w:p>
        </w:tc>
      </w:t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480" w:type="dxa"/>
            <w:vAlign w:val="bottom"/>
            <w:gridSpan w:val="2"/>
            <w:shd w:val="clear" w:color="auto" w:fill="CFF0FC"/>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w w:val="97"/>
              </w:rPr>
              <w:t>(60,234)</w:t>
            </w: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(34,650)</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(3,288)</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64,766</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36,965</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3,560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w:t>
            </w:r>
          </w:p>
        </w:tc>
      </w:tr>
    </w:tbl>
    <w:p>
      <w:pPr>
        <w:spacing w:after="0" w:line="22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$60.2 million for the 13 weeks ended May 3, 2025, compared to net cash used in operating activities was $34.7 million for the corresponding period of fiscal year 2024, an increase of approximately $25.5 million. The increase in our cash flows used in operating activities was primarily driven by increased inventory purchases during the 13 weeks ended May 3, 2025 compared to the corresponding period of fiscal year 2024 done in an attempt to reduce our exposure to tariffs.</w:t>
      </w:r>
    </w:p>
    <w:p>
      <w:pPr>
        <w:spacing w:after="0" w:line="18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$3.8 million for the 13 weeks ended May 3, 2025, compared to net cash used in investing activities was $3.3 million for the corresponding period of fiscal year 2024, an increase of approximately $0.5 million, which was primarily driven by increased capital expenditures related to the construction of a new store and timing of technical investments during the 13 weeks ended May 3, 2025 compared to the corresponding period of fiscal year 2024.</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$64.8 million for the 13 weeks ended May 3, 2025, compared to net cash provided by financing activities was $37.0 million for the corresponding period of fiscal year 2024, an increase of approximately $27.8 million. The increase in cash provided by financing activities was primarily the result of increased incremental borrowings under our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maintain a $350.0 million revolving credit facility, with $155.5 million outstanding as of May 3, 2025. Our revolving credit facility is governed by an amended and restated credit agreement with a consortium of banks led by Wells Fargo Bank, National Association (“Wells Fargo”). We additionally entered into a term loan credit facility on July 30, 2024 with an aggregate principal amount available of $45.0 million, with $25.0 million outstanding as of May 3, 2025. Borrowings under our revolving credit facility and term loan facility are subject to a borrowing base calculation. As of May 3, 2025, we had an aggregate amount of $118.5 million available for borrowing under our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revolving credit facility and our term loan facility, calculated based upon certain borrowing base restrictions, and $2.3 million in stand-by commercial letters of credit. Our $20 million availability under our term loan was scheduled to expire on April 30, 2025 and we recently extended the expiration to July 31, 2025.</w:t>
      </w:r>
    </w:p>
    <w:p>
      <w:pPr>
        <w:spacing w:after="0" w:line="17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applicable credit agreement) plus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0.50% or (4) the one-month Term SOFR (as defined in the applicable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Borrowings under the term loan facility bear interest at a rate equal to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w:t>
      </w:r>
    </w:p>
    <w:p>
      <w:pPr>
        <w:spacing w:after="0" w:line="1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the term loan, and all obligations under the revolving credit facility and the term loan are guaranteed by Holdings. All of the obligations under the revolving credit facility and the term loan are secured by a lien on substantially all of Holdings’ assets and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 The lien securing the obligations under the term loan facility is a first priority lien as to equipment, fixtures, intellectual property and equity interests.</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and the term loan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revolving credit facility and term loan facility each require us to maintain a minimum availability at all times of not less than 10% of the gross borrowing base. In addition, the credit agreements governing each of our revolving credit facility and our term loan facility contain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credit facility and term loan facility also contain customary events of default, including defaults triggered by defaults under the other facility. As of May 3, 2025, we were in compliance with all covenants under the credit agreements governing each of our revolving credit facility and our term loan facility.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described in “Part II., Item 7., Management’s Discussion and Analysis of Financial Condition and Results of Operations” of our Fiscal 2024 Form 10-K.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loss plus interest expense, income tax benefit, depreciation and amortization, stock-based compensation expense, transition and severance costs related to director and officer transitions, and expenses that we do not believe are indicative of our ongoing expenses. Net loss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reconciliation of net loss, to Adjusted EBITDA and a calculation of Adjusted EBITDA margin is set forth below for the periods presented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4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80" w:type="dxa"/>
            <w:vAlign w:val="bottom"/>
          </w:tcPr>
          <w:p>
            <w:pPr>
              <w:jc w:val="right"/>
              <w:ind w:right="144"/>
              <w:spacing w:after="0" w:line="118" w:lineRule="exact"/>
              <w:rPr>
                <w:sz w:val="20"/>
                <w:szCs w:val="20"/>
                <w:color w:val="auto"/>
              </w:rPr>
            </w:pPr>
            <w:r>
              <w:rPr>
                <w:rFonts w:ascii="Times New Roman" w:cs="Times New Roman" w:eastAsia="Times New Roman" w:hAnsi="Times New Roman"/>
                <w:sz w:val="13"/>
                <w:szCs w:val="13"/>
                <w:b w:val="1"/>
                <w:bCs w:val="1"/>
                <w:color w:val="auto"/>
              </w:rPr>
              <w:t>May 3,</w:t>
            </w: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jc w:val="right"/>
              <w:ind w:right="953"/>
              <w:spacing w:after="0" w:line="118" w:lineRule="exact"/>
              <w:rPr>
                <w:sz w:val="20"/>
                <w:szCs w:val="20"/>
                <w:color w:val="auto"/>
              </w:rPr>
            </w:pPr>
            <w:r>
              <w:rPr>
                <w:rFonts w:ascii="Times New Roman" w:cs="Times New Roman" w:eastAsia="Times New Roman" w:hAnsi="Times New Roman"/>
                <w:sz w:val="13"/>
                <w:szCs w:val="13"/>
                <w:b w:val="1"/>
                <w:bCs w:val="1"/>
                <w:color w:val="auto"/>
              </w:rPr>
              <w:t>May 4,</w:t>
            </w:r>
          </w:p>
        </w:tc>
        <w:tc>
          <w:tcPr>
            <w:tcW w:w="220" w:type="dxa"/>
            <w:vAlign w:val="bottom"/>
          </w:tcPr>
          <w:p>
            <w:pPr>
              <w:spacing w:after="0"/>
              <w:rPr>
                <w:sz w:val="10"/>
                <w:szCs w:val="10"/>
                <w:color w:val="auto"/>
              </w:rPr>
            </w:pPr>
          </w:p>
        </w:tc>
      </w:tr>
      <w:tr>
        <w:trPr>
          <w:trHeight w:val="173"/>
        </w:trPr>
        <w:tc>
          <w:tcPr>
            <w:tcW w:w="4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r>
      <w:tr>
        <w:trPr>
          <w:trHeight w:val="142"/>
        </w:trPr>
        <w:tc>
          <w:tcPr>
            <w:tcW w:w="4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240" w:type="dxa"/>
            <w:vAlign w:val="bottom"/>
            <w:gridSpan w:val="3"/>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20" w:type="dxa"/>
            <w:vAlign w:val="bottom"/>
            <w:gridSpan w:val="2"/>
            <w:shd w:val="clear" w:color="auto" w:fill="CFF0FC"/>
          </w:tcPr>
          <w:p>
            <w:pPr>
              <w:jc w:val="right"/>
              <w:ind w:right="150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(21,254)</w:t>
            </w:r>
          </w:p>
        </w:tc>
        <w:tc>
          <w:tcPr>
            <w:tcW w:w="88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(18,066)</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2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(5,469)</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22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(1)</w:t>
            </w:r>
          </w:p>
        </w:tc>
        <w:tc>
          <w:tcPr>
            <w:tcW w:w="1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officer transition costs (2)</w:t>
            </w:r>
          </w:p>
        </w:tc>
        <w:tc>
          <w:tcPr>
            <w:tcW w:w="1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spacing w:after="0"/>
              <w:rPr>
                <w:sz w:val="18"/>
                <w:szCs w:val="18"/>
                <w:color w:val="auto"/>
              </w:rPr>
            </w:pPr>
          </w:p>
        </w:tc>
      </w:tr>
      <w:tr>
        <w:trPr>
          <w:trHeight w:val="249"/>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tcBorders>
              <w:top w:val="single" w:sz="8" w:color="CFF0FC"/>
              <w:bottom w:val="single" w:sz="8" w:color="CFF0FC"/>
            </w:tcBorders>
            <w:shd w:val="clear" w:color="auto" w:fill="CFF0FC"/>
          </w:tcPr>
          <w:p>
            <w:pPr>
              <w:spacing w:after="0"/>
              <w:rPr>
                <w:sz w:val="21"/>
                <w:szCs w:val="21"/>
                <w:color w:val="auto"/>
              </w:rPr>
            </w:pPr>
          </w:p>
        </w:tc>
        <w:tc>
          <w:tcPr>
            <w:tcW w:w="1680" w:type="dxa"/>
            <w:vAlign w:val="bottom"/>
            <w:tcBorders>
              <w:top w:val="single" w:sz="8" w:color="auto"/>
              <w:bottom w:val="single" w:sz="8" w:color="auto"/>
            </w:tcBorders>
            <w:shd w:val="clear" w:color="auto" w:fill="CFF0FC"/>
          </w:tcPr>
          <w:p>
            <w:pPr>
              <w:jc w:val="right"/>
              <w:ind w:right="150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(8,960)</w:t>
            </w:r>
          </w:p>
        </w:tc>
        <w:tc>
          <w:tcPr>
            <w:tcW w:w="36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41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020" w:type="dxa"/>
            <w:vAlign w:val="bottom"/>
            <w:gridSpan w:val="2"/>
          </w:tcPr>
          <w:p>
            <w:pPr>
              <w:jc w:val="right"/>
              <w:ind w:right="150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249,103</w:t>
            </w:r>
          </w:p>
        </w:tc>
        <w:tc>
          <w:tcPr>
            <w:tcW w:w="360" w:type="dxa"/>
            <w:vAlign w:val="bottom"/>
          </w:tcPr>
          <w:p>
            <w:pPr>
              <w:spacing w:after="0"/>
              <w:rPr>
                <w:sz w:val="24"/>
                <w:szCs w:val="24"/>
                <w:color w:val="auto"/>
              </w:rPr>
            </w:pPr>
          </w:p>
        </w:tc>
        <w:tc>
          <w:tcPr>
            <w:tcW w:w="8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244,240</w:t>
            </w:r>
          </w:p>
        </w:tc>
        <w:tc>
          <w:tcPr>
            <w:tcW w:w="220" w:type="dxa"/>
            <w:vAlign w:val="bottom"/>
          </w:tcPr>
          <w:p>
            <w:pPr>
              <w:spacing w:after="0"/>
              <w:rPr>
                <w:sz w:val="24"/>
                <w:szCs w:val="24"/>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13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 (3)</w:t>
            </w:r>
          </w:p>
        </w:tc>
        <w:tc>
          <w:tcPr>
            <w:tcW w:w="1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-585470</wp:posOffset>
            </wp:positionV>
            <wp:extent cx="1460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-568325</wp:posOffset>
            </wp:positionV>
            <wp:extent cx="1460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-730885</wp:posOffset>
            </wp:positionV>
            <wp:extent cx="1460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-585470</wp:posOffset>
            </wp:positionV>
            <wp:extent cx="1454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-568325</wp:posOffset>
            </wp:positionV>
            <wp:extent cx="1454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-730885</wp:posOffset>
            </wp:positionV>
            <wp:extent cx="1454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23742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32" w:lineRule="exact"/>
        <w:rPr>
          <w:sz w:val="20"/>
          <w:szCs w:val="20"/>
          <w:color w:val="auto"/>
        </w:rPr>
      </w:pPr>
    </w:p>
    <w:p>
      <w:pPr>
        <w:ind w:left="520" w:right="40" w:hanging="512"/>
        <w:spacing w:after="0" w:line="26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represents non-cash expenses related to equity instruments granted to employees under our equity incentive plan and employee stock purchase plan.</w:t>
      </w:r>
    </w:p>
    <w:p>
      <w:pPr>
        <w:ind w:left="520" w:right="30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relating to the departure of directors and officers and the recruitment of directors and key members of our senior management team.</w:t>
      </w:r>
    </w:p>
    <w:p>
      <w:pPr>
        <w:ind w:left="520" w:right="220" w:hanging="512"/>
        <w:spacing w:after="0" w:line="26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Item 305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10-Q. Based on that evaluation, our Chief Executive Officer and Chief Financial Officer have concluded that our disclosure controls and procedures were effective as of May 3,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13 weeks ended May 3, 2025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See Note 13, “Commitments and Contingencies” to our condensed consolidated financial statements for additional information, which is incorporated herein by reference.</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pending lawsuit described in Note 13 of our unaudited interim consolidated financial statements is subject to inherent uncertainties, and the actual defense and disposition costs will depend upon unknown factors. The outcomes of the pending lawsuit are necessarily uncertain. We also could be forced to expend significant resources in the defense of the pending lawsuit, including substantial legal fees and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2024 Form 10-K.</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p>
      <w:pPr>
        <w:ind w:left="24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p>
      <w:pPr>
        <w:spacing w:after="0" w:line="3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101.INS*</w:t>
      </w:r>
    </w:p>
    <w:p>
      <w:pPr>
        <w:spacing w:after="0" w:line="33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Amended and Restated Certificate of Incorporation of Sportsman’s Warehouse Holdings, Inc. (incorporated by reference to Exhibit</w:t>
        </w:r>
      </w:hyperlink>
      <w:r>
        <w:rPr>
          <w:rFonts w:ascii="Times New Roman" w:cs="Times New Roman" w:eastAsia="Times New Roman" w:hAnsi="Times New Roman"/>
          <w:sz w:val="18"/>
          <w:szCs w:val="18"/>
          <w:u w:val="single" w:color="auto"/>
          <w:color w:val="0000FF"/>
        </w:rPr>
        <w:t xml:space="preserve"> </w:t>
      </w:r>
      <w:hyperlink r:id="rId256">
        <w:r>
          <w:rPr>
            <w:rFonts w:ascii="Times New Roman" w:cs="Times New Roman" w:eastAsia="Times New Roman" w:hAnsi="Times New Roman"/>
            <w:sz w:val="18"/>
            <w:szCs w:val="18"/>
            <w:u w:val="single" w:color="auto"/>
            <w:color w:val="0000FF"/>
          </w:rPr>
          <w:t>3.1 to the Company’s Current Report on Form 8-K, filed with the SEC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260"/>
        <w:spacing w:after="0" w:line="282" w:lineRule="auto"/>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Fourth Amended and Restated Bylaws of Sportsman’s Warehouse Holdings,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258">
        <w:r>
          <w:rPr>
            <w:rFonts w:ascii="Times New Roman" w:cs="Times New Roman" w:eastAsia="Times New Roman" w:hAnsi="Times New Roman"/>
            <w:sz w:val="18"/>
            <w:szCs w:val="18"/>
            <w:u w:val="single" w:color="auto"/>
            <w:color w:val="0000FF"/>
          </w:rPr>
          <w:t>Current Report on Form 8-K, filed with the SEC on March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jc w:val="both"/>
        <w:spacing w:after="0" w:line="289" w:lineRule="auto"/>
        <w:rPr>
          <w:rFonts w:ascii="Times New Roman" w:cs="Times New Roman" w:eastAsia="Times New Roman" w:hAnsi="Times New Roman"/>
          <w:sz w:val="17"/>
          <w:szCs w:val="17"/>
          <w:u w:val="single" w:color="auto"/>
          <w:color w:val="0000FF"/>
        </w:rPr>
      </w:pPr>
      <w:hyperlink r:id="rId260">
        <w:r>
          <w:rPr>
            <w:rFonts w:ascii="Times New Roman" w:cs="Times New Roman" w:eastAsia="Times New Roman" w:hAnsi="Times New Roman"/>
            <w:sz w:val="17"/>
            <w:szCs w:val="17"/>
            <w:u w:val="single" w:color="auto"/>
            <w:color w:val="0000FF"/>
          </w:rPr>
          <w:t>First Amendment to ABL Term Loan Credit Agreement, dated March 28, 2025, by and among Sportsman's Warehouse, Inc., as lead</w:t>
        </w:r>
      </w:hyperlink>
      <w:r>
        <w:rPr>
          <w:rFonts w:ascii="Times New Roman" w:cs="Times New Roman" w:eastAsia="Times New Roman" w:hAnsi="Times New Roman"/>
          <w:sz w:val="17"/>
          <w:szCs w:val="17"/>
          <w:u w:val="single" w:color="auto"/>
          <w:color w:val="0000FF"/>
        </w:rPr>
        <w:t xml:space="preserve"> </w:t>
      </w:r>
      <w:hyperlink r:id="rId260">
        <w:r>
          <w:rPr>
            <w:rFonts w:ascii="Times New Roman" w:cs="Times New Roman" w:eastAsia="Times New Roman" w:hAnsi="Times New Roman"/>
            <w:sz w:val="17"/>
            <w:szCs w:val="17"/>
            <w:u w:val="single" w:color="auto"/>
            <w:color w:val="0000FF"/>
          </w:rPr>
          <w:t>borrower, the other borrowers and guarantors party thereto, PLC Agent LLC, as administrative and collateral agent, and the lenders</w:t>
        </w:r>
      </w:hyperlink>
      <w:r>
        <w:rPr>
          <w:rFonts w:ascii="Times New Roman" w:cs="Times New Roman" w:eastAsia="Times New Roman" w:hAnsi="Times New Roman"/>
          <w:sz w:val="17"/>
          <w:szCs w:val="17"/>
          <w:u w:val="single" w:color="auto"/>
          <w:color w:val="0000FF"/>
        </w:rPr>
        <w:t xml:space="preserve"> </w:t>
      </w:r>
      <w:hyperlink r:id="rId260">
        <w:r>
          <w:rPr>
            <w:rFonts w:ascii="Times New Roman" w:cs="Times New Roman" w:eastAsia="Times New Roman" w:hAnsi="Times New Roman"/>
            <w:sz w:val="17"/>
            <w:szCs w:val="17"/>
            <w:u w:val="single" w:color="auto"/>
            <w:color w:val="0000FF"/>
          </w:rPr>
          <w:t>party thereto (incorporated by reference to Exhibit 10.5 to the Annual Report on Form 10-K, filed with the SEC on April 2, 2025).</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-1061085</wp:posOffset>
            </wp:positionH>
            <wp:positionV relativeFrom="paragraph">
              <wp:posOffset>-436245</wp:posOffset>
            </wp:positionV>
            <wp:extent cx="7132320" cy="4114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38"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7"/>
          <w:szCs w:val="17"/>
          <w:u w:val="single" w:color="auto"/>
          <w:color w:val="0000FF"/>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7"/>
          <w:szCs w:val="17"/>
          <w:u w:val="single" w:color="auto"/>
          <w:color w:val="0000FF"/>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-1061085</wp:posOffset>
            </wp:positionH>
            <wp:positionV relativeFrom="paragraph">
              <wp:posOffset>-296545</wp:posOffset>
            </wp:positionV>
            <wp:extent cx="7132320" cy="274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-1061085</wp:posOffset>
            </wp:positionH>
            <wp:positionV relativeFrom="paragraph">
              <wp:posOffset>-119380</wp:posOffset>
            </wp:positionV>
            <wp:extent cx="71323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154305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1120" w:space="560"/>
            <w:col w:w="9540"/>
          </w:cols>
          <w:pgMar w:left="320" w:top="769" w:right="359" w:bottom="1440" w:gutter="0" w:footer="0" w:header="0"/>
          <w:type w:val="continuous"/>
        </w:sectPr>
      </w:pPr>
    </w:p>
    <w:p>
      <w:pPr>
        <w:spacing w:after="0" w:line="250" w:lineRule="exact"/>
        <w:rPr>
          <w:rFonts w:ascii="Times New Roman" w:cs="Times New Roman" w:eastAsia="Times New Roman" w:hAnsi="Times New Roman"/>
          <w:sz w:val="17"/>
          <w:szCs w:val="17"/>
          <w:u w:val="single" w:color="auto"/>
          <w:color w:val="0000FF"/>
        </w:rPr>
      </w:pPr>
    </w:p>
    <w:p>
      <w:pPr>
        <w:ind w:left="340" w:hanging="332"/>
        <w:spacing w:after="0"/>
        <w:tabs>
          <w:tab w:leader="none" w:pos="3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2" w:lineRule="exact"/>
        <w:rPr>
          <w:rFonts w:ascii="Times New Roman" w:cs="Times New Roman" w:eastAsia="Times New Roman" w:hAnsi="Times New Roman"/>
          <w:sz w:val="17"/>
          <w:szCs w:val="17"/>
          <w:u w:val="single" w:color="auto"/>
          <w:color w:val="0000FF"/>
        </w:rPr>
      </w:pPr>
    </w:p>
    <w:p>
      <w:pPr>
        <w:spacing w:after="0"/>
        <w:rPr>
          <w:sz w:val="20"/>
          <w:szCs w:val="20"/>
          <w:color w:val="auto"/>
        </w:rPr>
      </w:pPr>
      <w:r>
        <w:rPr>
          <w:rFonts w:ascii="Times New Roman" w:cs="Times New Roman" w:eastAsia="Times New Roman" w:hAnsi="Times New Roman"/>
          <w:sz w:val="20"/>
          <w:szCs w:val="20"/>
          <w:color w:val="auto"/>
        </w:rPr>
        <w:t>** Furnished herewith.</w:t>
      </w: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62" w:lineRule="exact"/>
        <w:rPr>
          <w:rFonts w:ascii="Times New Roman" w:cs="Times New Roman" w:eastAsia="Times New Roman" w:hAnsi="Times New Roman"/>
          <w:sz w:val="17"/>
          <w:szCs w:val="17"/>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9" w:lineRule="exact"/>
        <w:rPr>
          <w:sz w:val="20"/>
          <w:szCs w:val="20"/>
          <w:color w:val="auto"/>
        </w:rPr>
      </w:pPr>
    </w:p>
    <w:p>
      <w:pPr>
        <w:spacing w:after="0"/>
        <w:tabs>
          <w:tab w:leader="none" w:pos="5620" w:val="left"/>
          <w:tab w:leader="none" w:pos="816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Paul Stone</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5620" w:val="left"/>
          <w:tab w:leader="none" w:pos="8180" w:val="left"/>
        </w:tabs>
        <w:rPr>
          <w:sz w:val="20"/>
          <w:szCs w:val="20"/>
          <w:color w:val="auto"/>
        </w:rPr>
      </w:pPr>
      <w:r>
        <w:rPr>
          <w:rFonts w:ascii="Times New Roman" w:cs="Times New Roman" w:eastAsia="Times New Roman" w:hAnsi="Times New Roman"/>
          <w:sz w:val="18"/>
          <w:szCs w:val="18"/>
          <w:color w:val="auto"/>
        </w:rPr>
        <w:t>Date: June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Jeff White</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2025</w:t>
      </w:r>
    </w:p>
    <w:p>
      <w:pPr>
        <w:spacing w:after="0" w:line="239"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061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4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9" w:name="page40"/>
    <w:bookmarkEnd w:id="3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White, certify that:</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48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514"/>
        <w:spacing w:after="0" w:line="26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40" w:hanging="514"/>
        <w:spacing w:after="0" w:line="266"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00" w:hanging="514"/>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480" w:hanging="514"/>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2025</w:t>
      </w:r>
    </w:p>
    <w:p>
      <w:pPr>
        <w:spacing w:after="0" w:line="239"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Jeff White</w:t>
      </w:r>
    </w:p>
    <w:p>
      <w:pPr>
        <w:jc w:val="center"/>
        <w:ind w:right="526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918210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Sportsman’s Warehouse Holdings, Inc. (the “Registrant”) for the fiscal quarter ended May 3, 2025, as filed with the Securities and Exchange Commission on the date hereof (the “Report”), Paul Stone, President and Chief Executive Officer of the Registrant, and Jeff White, Chief Financial Officer and Secretary of the Registrant, hereby certify, pursuant to 18 U.S.C. Section 1350, as adopted pursuant to Section 906 of the Sarbanes-Oxley Act of 2002, that, to the best of their knowledge:</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2025</w:t>
      </w:r>
    </w:p>
    <w:p>
      <w:pPr>
        <w:spacing w:after="0" w:line="239"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8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2025</w:t>
      </w:r>
    </w:p>
    <w:p>
      <w:pPr>
        <w:spacing w:after="0" w:line="239"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01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 w:lineRule="exact"/>
        <w:rPr>
          <w:sz w:val="20"/>
          <w:szCs w:val="20"/>
          <w:color w:val="auto"/>
        </w:rPr>
      </w:pPr>
    </w:p>
    <w:p>
      <w:pPr>
        <w:jc w:val="center"/>
        <w:ind w:right="5280"/>
        <w:spacing w:after="0"/>
        <w:rPr>
          <w:sz w:val="20"/>
          <w:szCs w:val="20"/>
          <w:color w:val="auto"/>
        </w:rPr>
      </w:pPr>
      <w:r>
        <w:rPr>
          <w:rFonts w:ascii="Times New Roman" w:cs="Times New Roman" w:eastAsia="Times New Roman" w:hAnsi="Times New Roman"/>
          <w:sz w:val="14"/>
          <w:szCs w:val="14"/>
          <w:b w:val="1"/>
          <w:bCs w:val="1"/>
          <w:color w:val="auto"/>
        </w:rPr>
        <w:t>Jeff White</w:t>
      </w:r>
    </w:p>
    <w:p>
      <w:pPr>
        <w:jc w:val="center"/>
        <w:ind w:right="528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8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19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2"/>
    </w:lvl>
  </w:abstractNum>
  <w:abstractNum w:abstractNumId="7">
    <w:nsid w:val="66EF438D"/>
    <w:multiLevelType w:val="hybridMultilevel"/>
    <w:lvl w:ilvl="0">
      <w:lvlJc w:val="left"/>
      <w:lvlText w:val="(%1)"/>
      <w:numFmt w:val="decimal"/>
      <w:start w:val="13"/>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7" Type="http://schemas.openxmlformats.org/officeDocument/2006/relationships/image" Target="media/image249.png"/><Relationship Id="rId259"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56" Type="http://schemas.openxmlformats.org/officeDocument/2006/relationships/hyperlink" Target="https://www.sec.gov/Archives/edgar/data/1132105/000095017023026914/spwh-ex3_1.htm" TargetMode="External"/><Relationship Id="rId258" Type="http://schemas.openxmlformats.org/officeDocument/2006/relationships/hyperlink" Target="https://www.sec.gov/ix?doc=/Archives/edgar/data/1132105/000095017024041618/spwh-20240203.htm" TargetMode="External"/><Relationship Id="rId260" Type="http://schemas.openxmlformats.org/officeDocument/2006/relationships/hyperlink" Target="https://www.sec.gov/Archives/edgar/data/1132105/000095017025048890/spwh-ex10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2025-06-04T07:36:47Z</dcterms:created>
  <dcterms:modified xsi:type="dcterms:W3CDTF">2025-06-04T07:36:47Z</dcterms:modified>
</cp:coreProperties>
</file>