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100" w:right="2680" w:hanging="4092"/>
        <w:spacing w:after="0" w:line="327" w:lineRule="auto"/>
        <w:tabs>
          <w:tab w:leader="none" w:pos="32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May 4, 2024</w:t>
      </w:r>
    </w:p>
    <w:p>
      <w:pPr>
        <w:spacing w:after="0" w:line="1" w:lineRule="exact"/>
        <w:rPr>
          <w:rFonts w:ascii="MS PGothic" w:cs="MS PGothic" w:eastAsia="MS PGothic" w:hAnsi="MS PGothic"/>
          <w:sz w:val="16"/>
          <w:szCs w:val="16"/>
          <w:color w:val="auto"/>
        </w:rPr>
      </w:pP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left="3940" w:right="2680" w:hanging="3932"/>
        <w:spacing w:after="0" w:line="299" w:lineRule="auto"/>
        <w:tabs>
          <w:tab w:leader="none" w:pos="32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19"/>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24"/>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29"/>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0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r>
      <w:tr>
        <w:trPr>
          <w:trHeight w:val="21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2"/>
        </w:trPr>
        <w:tc>
          <w:tcPr>
            <w:tcW w:w="37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37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SPWH</w:t>
            </w:r>
          </w:p>
        </w:tc>
        <w:tc>
          <w:tcPr>
            <w:tcW w:w="37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23"/>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8" w:lineRule="exact"/>
        <w:rPr>
          <w:sz w:val="24"/>
          <w:szCs w:val="24"/>
          <w:color w:val="auto"/>
        </w:rPr>
      </w:pPr>
    </w:p>
    <w:p>
      <w:pPr>
        <w:ind w:right="6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jc w:val="both"/>
        <w:ind w:right="28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68" w:lineRule="exact"/>
        <w:rPr>
          <w:sz w:val="24"/>
          <w:szCs w:val="24"/>
          <w:color w:val="auto"/>
        </w:rPr>
      </w:pPr>
    </w:p>
    <w:p>
      <w:pPr>
        <w:ind w:left="520" w:right="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52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May 31, 2024 was 37,747,635.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102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Pr>
          <w:p>
            <w:pPr>
              <w:spacing w:after="0"/>
              <w:rPr>
                <w:sz w:val="15"/>
                <w:szCs w:val="15"/>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7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20" w:type="dxa"/>
            <w:vAlign w:val="bottom"/>
            <w:gridSpan w:val="3"/>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tcBorders>
              <w:left w:val="single" w:sz="8" w:color="0000FF"/>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102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r>
      <w:tr>
        <w:trPr>
          <w:trHeight w:val="465"/>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0" w:type="dxa"/>
            <w:vAlign w:val="bottom"/>
            <w:tcBorders>
              <w:top w:val="single" w:sz="8" w:color="0000FF"/>
            </w:tcBorders>
            <w:gridSpan w:val="2"/>
          </w:tcPr>
          <w:p>
            <w:pPr>
              <w:spacing w:after="0"/>
              <w:rPr>
                <w:sz w:val="24"/>
                <w:szCs w:val="24"/>
                <w:color w:val="auto"/>
              </w:rPr>
            </w:pPr>
          </w:p>
        </w:tc>
        <w:tc>
          <w:tcPr>
            <w:tcW w:w="18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4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20" w:type="dxa"/>
            <w:vAlign w:val="bottom"/>
            <w:gridSpan w:val="3"/>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first fiscal quarters ended May 4, 2024 and April 29, 2023 both consisted of 13 weeks and are referred to herein as the first quarter of fiscal year 2024 and the first quarter of fiscal year 2023, respectively. Fiscal year 2024 contains 52 weeks of operations and will end on February 1, 2025. Fiscal year 2023 contained 53 weeks of operations and ended on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2024” refer to our fiscal year ending February 1, 2025; (ii) “fiscal year 2023” refer to our fiscal year ended February 3, 2024; and (iii) “fiscal year 2022” refer to our fiscal year ended January 28, 2023.</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6" w:lineRule="exact"/>
        <w:rPr>
          <w:sz w:val="20"/>
          <w:szCs w:val="20"/>
          <w:color w:val="auto"/>
        </w:rPr>
      </w:pPr>
    </w:p>
    <w:p>
      <w:pPr>
        <w:ind w:left="1020" w:right="18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1" w:lineRule="exact"/>
        <w:rPr>
          <w:rFonts w:ascii="Times New Roman" w:cs="Times New Roman" w:eastAsia="Times New Roman" w:hAnsi="Times New Roman"/>
          <w:sz w:val="18"/>
          <w:szCs w:val="18"/>
          <w:color w:val="auto"/>
        </w:rPr>
      </w:pPr>
    </w:p>
    <w:p>
      <w:pPr>
        <w:ind w:left="1020" w:right="7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1" w:lineRule="exact"/>
        <w:rPr>
          <w:rFonts w:ascii="Times New Roman" w:cs="Times New Roman" w:eastAsia="Times New Roman" w:hAnsi="Times New Roman"/>
          <w:sz w:val="18"/>
          <w:szCs w:val="18"/>
          <w:color w:val="auto"/>
        </w:rPr>
      </w:pPr>
    </w:p>
    <w:p>
      <w:pPr>
        <w:ind w:left="1020" w:right="4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1" w:lineRule="exact"/>
        <w:rPr>
          <w:rFonts w:ascii="Times New Roman" w:cs="Times New Roman" w:eastAsia="Times New Roman" w:hAnsi="Times New Roman"/>
          <w:sz w:val="18"/>
          <w:szCs w:val="18"/>
          <w:color w:val="auto"/>
        </w:rPr>
      </w:pPr>
    </w:p>
    <w:p>
      <w:pPr>
        <w:ind w:left="10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1" w:lineRule="exact"/>
        <w:rPr>
          <w:rFonts w:ascii="Times New Roman" w:cs="Times New Roman" w:eastAsia="Times New Roman" w:hAnsi="Times New Roman"/>
          <w:sz w:val="18"/>
          <w:szCs w:val="18"/>
          <w:color w:val="auto"/>
        </w:rPr>
      </w:pPr>
    </w:p>
    <w:p>
      <w:pPr>
        <w:ind w:left="1020" w:right="7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rising interest rates, economic slowdowns, and recessions or market corrections.</w:t>
      </w:r>
    </w:p>
    <w:p>
      <w:pPr>
        <w:spacing w:after="0" w:line="6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February 3, 2024 (our “Fiscal 2023 Form 10-K”) and “Part I., Item 2., Management’s Discussion and Analysis of Financial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3" w:lineRule="exact"/>
        <w:rPr>
          <w:sz w:val="20"/>
          <w:szCs w:val="20"/>
          <w:color w:val="auto"/>
        </w:rPr>
      </w:pPr>
    </w:p>
    <w:p>
      <w:pPr>
        <w:jc w:val="center"/>
        <w:ind w:right="40"/>
        <w:spacing w:after="0" w:line="264"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87"/>
        </w:trPr>
        <w:tc>
          <w:tcPr>
            <w:tcW w:w="7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Merchandise inventories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391,643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354,710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415,113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380,048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319,636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187,848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r>
      <w:tr>
        <w:trPr>
          <w:trHeight w:val="276"/>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930,377</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shd w:val="clear" w:color="auto" w:fill="CFF0FC"/>
          </w:tcPr>
          <w:p>
            <w:pPr>
              <w:spacing w:after="0"/>
              <w:rPr>
                <w:sz w:val="24"/>
                <w:szCs w:val="24"/>
                <w:color w:val="auto"/>
              </w:rPr>
            </w:pPr>
          </w:p>
        </w:tc>
      </w:tr>
      <w:tr>
        <w:trPr>
          <w:trHeight w:val="46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164,035</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126,043</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367,954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314,891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314,891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682,845</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$.01 par value; 100,000 shares authorized; 37,632 and 37,529 shares issued and</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earnings</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164,317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930,377</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-3629660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-3612515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-3629660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-3612515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-1899920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-1574800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58"/>
        </w:trPr>
        <w:tc>
          <w:tcPr>
            <w:tcW w:w="77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right"/>
              <w:ind w:right="860"/>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33"/>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267,529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187,485</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94,413</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99,003</w:t>
            </w:r>
          </w:p>
        </w:tc>
        <w:tc>
          <w:tcPr>
            <w:tcW w:w="100" w:type="dxa"/>
            <w:vAlign w:val="bottom"/>
          </w:tcPr>
          <w:p>
            <w:pPr>
              <w:spacing w:after="0"/>
              <w:rPr>
                <w:sz w:val="24"/>
                <w:szCs w:val="24"/>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(20,627 )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(18,959 )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(23,535 )</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(21,006 )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(5,469 )</w:t>
            </w: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(5,367 )</w:t>
            </w:r>
          </w:p>
        </w:tc>
      </w:tr>
      <w:tr>
        <w:trPr>
          <w:trHeight w:val="20"/>
        </w:trPr>
        <w:tc>
          <w:tcPr>
            <w:tcW w:w="7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(18,066 )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(15,639 )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(0.42 )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(0.42 )</w:t>
            </w:r>
          </w:p>
        </w:tc>
      </w:tr>
      <w:tr>
        <w:trPr>
          <w:trHeight w:val="20"/>
        </w:trPr>
        <w:tc>
          <w:tcPr>
            <w:tcW w:w="7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-2165350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-1052830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-1035685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-718820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-701675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Thirteen Weeks Ended May 4, 2024 and April 29,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Addition</w:t>
            </w:r>
          </w:p>
        </w:tc>
        <w:tc>
          <w:tcPr>
            <w:tcW w:w="840" w:type="dxa"/>
            <w:vAlign w:val="bottom"/>
            <w:tcBorders>
              <w:top w:val="single" w:sz="8" w:color="auto"/>
            </w:tcBorders>
            <w:gridSpan w:val="3"/>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6"/>
                <w:szCs w:val="16"/>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7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January 28, 2023</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79,74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212,9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293,11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5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(598 )</w:t>
            </w: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(98 )</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(205 )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(490 )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(1,445 )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(1,445 )</w:t>
            </w: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1"/>
        </w:trPr>
        <w:tc>
          <w:tcPr>
            <w:tcW w:w="3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April 29, 2023</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37,686</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377</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February 3, 2024</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81,79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182,3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264,55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5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(46 )</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(18,06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1"/>
        </w:trPr>
        <w:tc>
          <w:tcPr>
            <w:tcW w:w="3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May 4, 2024</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376</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-3244215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-3227705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-3244215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-3227705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-3244215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-3227705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-3244215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-3227705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-3244215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-3227705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-3244215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-3227705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-3244215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-3227705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-3244215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-3227705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-3244215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-2019935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-2019935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-2019935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-2019935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-2019935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-2019935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-2019935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-2019935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-1240790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-1223645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-1240790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-1223645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-1240790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-1223645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-1240790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-1223645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-1240790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-1223645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-1240790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-1223645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-1240790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-1223645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-1240790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-1223645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-324485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-324485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-324485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-324485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-324485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-324485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-324485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-324485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2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58"/>
        </w:trPr>
        <w:tc>
          <w:tcPr>
            <w:tcW w:w="7740" w:type="dxa"/>
            <w:vAlign w:val="bottom"/>
          </w:tcPr>
          <w:p>
            <w:pPr>
              <w:spacing w:after="0"/>
              <w:rPr>
                <w:sz w:val="13"/>
                <w:szCs w:val="13"/>
                <w:color w:val="auto"/>
              </w:rPr>
            </w:pPr>
          </w:p>
        </w:tc>
        <w:tc>
          <w:tcPr>
            <w:tcW w:w="9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5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31"/>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(18,066 )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(15,639 )</w:t>
            </w:r>
          </w:p>
        </w:tc>
      </w:tr>
      <w:tr>
        <w:trPr>
          <w:trHeight w:val="247"/>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(3,187 )</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(5,467 )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(1,050 )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Merchandise inventories</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(36,933 )</w:t>
            </w: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(70,361 )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(9,176 )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(58 )</w:t>
            </w: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(4,432 )</w:t>
            </w:r>
          </w:p>
        </w:tc>
      </w:tr>
      <w:tr>
        <w:trPr>
          <w:trHeight w:val="20"/>
        </w:trPr>
        <w:tc>
          <w:tcPr>
            <w:tcW w:w="7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(34,650 )</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(36,985 )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 net of amounts acquired</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(3,312 )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(22,757 )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(3,288 )</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(22,757 )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book overdraft</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(895 )</w:t>
            </w: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(132 )</w:t>
            </w: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(1,445 )</w:t>
            </w:r>
          </w:p>
        </w:tc>
      </w:tr>
      <w:tr>
        <w:trPr>
          <w:trHeight w:val="236"/>
        </w:trPr>
        <w:tc>
          <w:tcPr>
            <w:tcW w:w="77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60,393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(973 )</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51"/>
        </w:trPr>
        <w:tc>
          <w:tcPr>
            <w:tcW w:w="7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change in operating lease right of use asset and operating lease liabilities from</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of existing leases and addition of new leases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-3612515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-3612515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-2978785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-2978785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-2212340</wp:posOffset>
            </wp:positionV>
            <wp:extent cx="93980"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-2212340</wp:posOffset>
            </wp:positionV>
            <wp:extent cx="9398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-1711960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0" w:lineRule="exact"/>
        <w:rPr>
          <w:sz w:val="20"/>
          <w:szCs w:val="20"/>
          <w:color w:val="auto"/>
        </w:rPr>
      </w:pPr>
    </w:p>
    <w:p>
      <w:pPr>
        <w:ind w:right="7200" w:firstLine="8"/>
        <w:spacing w:after="0" w:line="377" w:lineRule="auto"/>
        <w:tabs>
          <w:tab w:leader="none" w:pos="25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spacing w:after="0" w:line="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May 4, 2024, the Company operated 146 stores in 32 states. The Company also operates an e-commerce platform at www.sportsmans.com. The Company’s stores and website are aggregated into one operating and reportable segment.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February 3, 2024 was derived from the Company’s audited consolidated balance sheet as of that date. All other condensed consolidated financial statements contained herein are unaudited and reflect all adjustments that are, in the opinion of management, necessary to summarize fairly the Company's condensed consolidated financial statements for the periods presented. All of these adjustments are of a normal recurring nature. The results of the fiscal quarter ended May 4, 2024 are not necessarily indicative of the results to be obtained for the fiscal year ending February 1, 2025. These condensed consolidated financial statements should be read in conjunction with the Company’s audited consolidated financial statements and notes thereto included in the Company’s Annual Report on Form 10-K for the fiscal year ended February 3, 2024 filed with the SEC on April 4, 2024 (the “Fiscal 2023 Form 10-K”).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34"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2023 Form 10-K. The Company has consistently applied the accounting policies to all periods presented in the condensed consolidated financial statements presented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280)—Improvements to Reportable Segment Disclosures, which aims to improve reportable segment disclosure requirements, primarily through enhanced disclosures about significant segment expenses. In addition, the amendments in the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applies to all public entities that are required to report segment information in accordance with ASC 280, and is effective for fiscal years beginning after December 15, 2023 and interim periods within fiscal years beginning after December 15, 2024, with early adoption permitted. The Company is evaluating the future impact of the issuance of this ASU on its consolidated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applied prospectively for annual financial statements not yet issued or made available for issuance. The Company is evaluating the future impact of the issuance of this ASU on its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18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20% using historical rates and future expectations.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and sales return liabilities with customers as of May 4,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2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(28,427 )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(30,541 )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2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(4,448 )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(4,340 )</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2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(2,373 )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(2,476 )</w:t>
            </w:r>
          </w:p>
        </w:tc>
      </w:tr>
    </w:tbl>
    <w:p>
      <w:pPr>
        <w:spacing w:after="0" w:line="2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13 weeks ended May 4, 2024, the Company recognized approximately $407 in gift card breakage and approximately $437 in loyalty reward breakage. During the 13 weeks ended April 29, 2023, the Company recognized approximately $440 in gift card breakage and approximately $938 in loyalty reward breakage. During the 13 weeks ended May 4, 2024, the Company recognized revenue of $8,977 relating to contract liabilities that existed at February 3, 2024.</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weeks ended May 4, 2024 and April 29, 2023, was approximately: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8"/>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right"/>
              <w:ind w:right="820"/>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94"/>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200" w:type="dxa"/>
            <w:vAlign w:val="bottom"/>
          </w:tcPr>
          <w:p>
            <w:pPr>
              <w:spacing w:after="0"/>
              <w:rPr>
                <w:sz w:val="16"/>
                <w:szCs w:val="16"/>
                <w:color w:val="auto"/>
              </w:rPr>
            </w:pPr>
          </w:p>
        </w:tc>
        <w:tc>
          <w:tcPr>
            <w:tcW w:w="52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Camping</w:t>
            </w:r>
          </w:p>
        </w:tc>
        <w:tc>
          <w:tcPr>
            <w:tcW w:w="52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Backpacks, camp essentials, canoes and kayaks, coolers, outdoor</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cooking equipment, sleeping bags, tents and tools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9.2 %</w:t>
            </w:r>
          </w:p>
        </w:tc>
        <w:tc>
          <w:tcPr>
            <w:tcW w:w="2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Camouflage, jackets, hats, outerwear, sportswear, technical gear and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work wear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Bait, electronics, fishing rods, flotation items, fly fishing, lines, lures,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reels, tackle and small boats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11.1 %</w:t>
            </w:r>
          </w:p>
        </w:tc>
        <w:tc>
          <w:tcPr>
            <w:tcW w:w="2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Hiking boots, socks, sport sandals, technical footwear, trail shoes, casual</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shoes, waders and work boots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5.2 %</w:t>
            </w:r>
          </w:p>
        </w:tc>
        <w:tc>
          <w:tcPr>
            <w:tcW w:w="2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Ammunition, archery items, ATV accessories, blinds and tree stands,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decoys, firearms, reloading equipment and shooting gear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63.9 %</w:t>
            </w:r>
          </w:p>
        </w:tc>
        <w:tc>
          <w:tcPr>
            <w:tcW w:w="2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Optics, Electronics,</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Gift items, GPS devices, knives, lighting, optics, two-way radios, and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tcPr>
          <w:p>
            <w:pPr>
              <w:spacing w:after="0"/>
              <w:rPr>
                <w:sz w:val="19"/>
                <w:szCs w:val="19"/>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Accessories, and Other</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license revenue, net of revenue discounts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4"/>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gridSpan w:val="2"/>
            <w:vMerge w:val="continue"/>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2360" w:type="dxa"/>
            <w:vAlign w:val="bottom"/>
            <w:gridSpan w:val="2"/>
            <w:vMerge w:val="continue"/>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May 4, 2024 and February 3, 2024: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60" w:type="dxa"/>
            <w:vAlign w:val="bottom"/>
          </w:tcPr>
          <w:p>
            <w:pPr>
              <w:spacing w:after="0"/>
              <w:rPr>
                <w:sz w:val="24"/>
                <w:szCs w:val="24"/>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173,203</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170,713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228,175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402,627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(214,779 )</w:t>
            </w: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(204,415 )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187,848</w:t>
            </w:r>
          </w:p>
        </w:tc>
        <w:tc>
          <w:tcPr>
            <w:tcW w:w="60" w:type="dxa"/>
            <w:vAlign w:val="bottom"/>
            <w:tcBorders>
              <w:top w:val="single" w:sz="8" w:color="CFF0FC"/>
            </w:tcBorders>
          </w:tcPr>
          <w:p>
            <w:pPr>
              <w:spacing w:after="0"/>
              <w:rPr>
                <w:sz w:val="20"/>
                <w:szCs w:val="20"/>
                <w:color w:val="auto"/>
              </w:rPr>
            </w:pPr>
          </w:p>
        </w:tc>
        <w:tc>
          <w:tcPr>
            <w:tcW w:w="40" w:type="dxa"/>
            <w:vAlign w:val="bottom"/>
            <w:tcBorders>
              <w:top w:val="single" w:sz="8" w:color="CFF0FC"/>
              <w:bottom w:val="single" w:sz="8" w:color="auto"/>
            </w:tcBorders>
          </w:tcPr>
          <w:p>
            <w:pPr>
              <w:spacing w:after="0"/>
              <w:rPr>
                <w:sz w:val="20"/>
                <w:szCs w:val="20"/>
                <w:color w:val="auto"/>
              </w:rPr>
            </w:pPr>
          </w:p>
        </w:tc>
        <w:tc>
          <w:tcPr>
            <w:tcW w:w="140" w:type="dxa"/>
            <w:vAlign w:val="bottom"/>
            <w:tcBorders>
              <w:top w:val="single" w:sz="8" w:color="CFF0FC"/>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360" w:type="dxa"/>
            <w:vAlign w:val="bottom"/>
            <w:gridSpan w:val="2"/>
            <w:vMerge w:val="continue"/>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May 4, 2024 and February 3, 2024: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60" w:type="dxa"/>
            <w:vAlign w:val="bottom"/>
          </w:tcPr>
          <w:p>
            <w:pPr>
              <w:spacing w:after="0"/>
              <w:rPr>
                <w:sz w:val="24"/>
                <w:szCs w:val="24"/>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overdraft</w:t>
            </w:r>
          </w:p>
        </w:tc>
        <w:tc>
          <w:tcPr>
            <w:tcW w:w="5280" w:type="dxa"/>
            <w:vAlign w:val="bottom"/>
            <w:shd w:val="clear" w:color="auto" w:fill="CFF0FC"/>
          </w:tcPr>
          <w:p>
            <w:pPr>
              <w:spacing w:after="0"/>
              <w:rPr>
                <w:sz w:val="20"/>
                <w:szCs w:val="20"/>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5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5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84,444</w:t>
            </w:r>
          </w:p>
        </w:tc>
        <w:tc>
          <w:tcPr>
            <w:tcW w:w="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right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-6001385</wp:posOffset>
            </wp:positionV>
            <wp:extent cx="7132320" cy="290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-5419090</wp:posOffset>
            </wp:positionV>
            <wp:extent cx="7132320" cy="290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-4837430</wp:posOffset>
            </wp:positionV>
            <wp:extent cx="7132320" cy="290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-4255135</wp:posOffset>
            </wp:positionV>
            <wp:extent cx="713232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-2559685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-2242820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6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87"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During the 13 weeks ended May 4, 2024, the Company recorded a non-cash increase of $7,052 to the right of use assets and operating lease liabilities resulting from lease remeasurements from the exercise of lease extension options, acquired leases, and new leases added.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9"/>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77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5"/>
          </w:tcPr>
          <w:p>
            <w:pPr>
              <w:jc w:val="center"/>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136"/>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17,036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24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7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9"/>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77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5"/>
          </w:tcPr>
          <w:p>
            <w:pPr>
              <w:jc w:val="center"/>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136"/>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(18,518 )</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(16,826 )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 May 4,</w:t>
            </w:r>
          </w:p>
        </w:tc>
        <w:tc>
          <w:tcPr>
            <w:tcW w:w="200" w:type="dxa"/>
            <w:vAlign w:val="bottom"/>
          </w:tcPr>
          <w:p>
            <w:pPr>
              <w:spacing w:after="0"/>
              <w:rPr>
                <w:sz w:val="24"/>
                <w:szCs w:val="24"/>
                <w:color w:val="auto"/>
              </w:rPr>
            </w:pP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April 29,</w:t>
            </w: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or remeasured operating lease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4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40" w:type="dxa"/>
            <w:vAlign w:val="bottom"/>
          </w:tcPr>
          <w:p>
            <w:pPr>
              <w:spacing w:after="0"/>
              <w:rPr>
                <w:sz w:val="20"/>
                <w:szCs w:val="20"/>
                <w:color w:val="auto"/>
              </w:rPr>
            </w:pPr>
          </w:p>
        </w:tc>
        <w:tc>
          <w:tcPr>
            <w:tcW w:w="16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7.68 %</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467"/>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May 4, 2024 were as follows: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7"/>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240" w:type="dxa"/>
            <w:vAlign w:val="bottom"/>
            <w:shd w:val="clear" w:color="auto" w:fill="CFF0FC"/>
          </w:tcPr>
          <w:p>
            <w:pPr>
              <w:spacing w:after="0"/>
              <w:rPr>
                <w:sz w:val="20"/>
                <w:szCs w:val="20"/>
                <w:color w:val="auto"/>
              </w:rPr>
            </w:pPr>
          </w:p>
        </w:tc>
        <w:tc>
          <w:tcPr>
            <w:tcW w:w="14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-3707130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-3707130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621030</wp:posOffset>
            </wp:positionV>
            <wp:extent cx="93980" cy="196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cash flows</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477,593</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r>
        <w:trPr>
          <w:trHeight w:val="23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values</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364,242</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total</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364,242</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113,351</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has excluded in the table above approximately $13.8 million of leases (undiscounted basis) that were entered into as of June 5, 2024. These leases will commence in 2025 with lease terms of up to 12 years</w:t>
      </w:r>
      <w:r>
        <w:rPr>
          <w:rFonts w:ascii="Times New Roman" w:cs="Times New Roman" w:eastAsia="Times New Roman" w:hAnsi="Times New Roman"/>
          <w:sz w:val="16"/>
          <w:szCs w:val="16"/>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Revolving Line of Credit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27, 2022, Sportsman’s Warehouse, Inc. (“SWI”), a wholly owned subsidiary of Holdings, as lead borrower, Holdings and other subsidiaries of the Company, each as borrowers or guarantors, and Wells Fargo Bank, National Association (“Wells Fargo”), with a consortium of banks led by Wells Fargo, entered into an Amended and Restated Credit Agreement (as amended, restated, supplemented or otherwise modified, the “Credit Agreement”). The Credit Agreement governs the Company’s senior secured revolving credit facility (“Revolving Line of Credit”). The Revolving Line of Credit provides borrowing capacity of up to $350,000, subject to a borrowing base calculation.</w:t>
      </w:r>
    </w:p>
    <w:p>
      <w:pPr>
        <w:spacing w:after="0" w:line="182"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In conjunction with the Credit Agreement, the Company incurred $508 of fees paid to various parties which were capitalized. Fees associated with the Revolving Line of Credit were recorded in prepaid expenses and other assets.</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May 4, 2024 and February 3, 2024, the Company had $176,149 and $135,272, respectively, in outstanding revolving loans under the Revolving Line of Credit. Amounts outstanding are offset on the condensed consolidated balance sheets by amounts in depository accounts under lock-box type arrangements, which were $12,114 and $9,230 as of May 4, 2024 and February 3, 2024, respectively. As of May 4, 2024, the Company had $78,585 available for borrowing, calculated based upon certain borrowing base restrictions and stand-by commercial letters of credit of $2,012 under the terms of the Revolving Line of Credit.</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Credit Agreement), at the Company’s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weighted average interest rate on the amounts outstanding under the revolving credit facility as of May 4, 2024 and February 3, 2024 was 6.72% and 7.01%, respectively.</w:t>
      </w:r>
    </w:p>
    <w:p>
      <w:pPr>
        <w:spacing w:after="0" w:line="18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requires the Company to maintain a minimum availability at all times of not less than 10.0% of the gross borrowing base and contains customary events of default. The Revolving Line of Credit matures on May 27, 2027.</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As of May 4, 2024 and February 3, 2024, the Credit Agreement had $465 and $503, respectively, in outstanding deferred financing fees. During the 13 weeks ended May 4, 2024, the Company recognized $38 of non-cash interest expense with respect to the amortization of deferred financing fees. During the 13 weeks ended April 29, 2023, the Company recognized $38 of non-cash interest expense with respect to the amortization of deferred financing fees.</w:t>
      </w:r>
    </w:p>
    <w:p>
      <w:pPr>
        <w:spacing w:after="0" w:line="15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During the 13 weeks ended May 4, 2024, gross borrowings under the Revolving Line of Credit were $307,715. During the 13 weeks ended April 29, 2023, gross borrowing under the Company’s revolving line of credit were $357,346. During the 13 weeks ended May 4, 2024, gross paydowns under the Revolving Line of Credit were $269,595. During the 13 weeks ended April 29, 2023, gross paydowns under the Company’s Revolving Line of Credit were $293,798.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provisions of the Revolving Line of Credit restrict all of the net assets of the Company’s consolidated subsidiaries, which constitute all of the net assets on the Company’s condensed consolidated balance sheet as of May 4, 2024, from being used to pay any dividends without prior written consent from the financial institutions party to the Revolving Line of Credit.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Company recognized income tax benefit of $5,469 and $5,367, respectively, in the 13 weeks ended May 4, 2024 and April 29, 2023. The Company’s effective tax rate during the 13 weeks ended May 4, 2024 and April 29, 2023 was 23.2% and 25.5%, respectively. The Company’s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2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58"/>
        </w:trPr>
        <w:tc>
          <w:tcPr>
            <w:tcW w:w="7740" w:type="dxa"/>
            <w:vAlign w:val="bottom"/>
          </w:tcPr>
          <w:p>
            <w:pPr>
              <w:spacing w:after="0"/>
              <w:rPr>
                <w:sz w:val="13"/>
                <w:szCs w:val="13"/>
                <w:color w:val="auto"/>
              </w:rPr>
            </w:pPr>
          </w:p>
        </w:tc>
        <w:tc>
          <w:tcPr>
            <w:tcW w:w="9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34"/>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7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(18,066 )</w:t>
            </w:r>
          </w:p>
        </w:tc>
        <w:tc>
          <w:tcPr>
            <w:tcW w:w="18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(15,639 )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980" w:type="dxa"/>
            <w:vAlign w:val="bottom"/>
          </w:tcPr>
          <w:p>
            <w:pPr>
              <w:spacing w:after="0"/>
              <w:rPr>
                <w:sz w:val="20"/>
                <w:szCs w:val="20"/>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(0.48 )</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(0.42 )</w:t>
            </w: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980" w:type="dxa"/>
            <w:vAlign w:val="bottom"/>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(0.48 )</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(0.42 )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considered anti-dilutive and excluded in the calculation</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-1215390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-1198245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-564515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-547370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-564515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13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March 24, 2022 the Company announced that its Board of Directors had authorized a share repurchase program (the “Repurchase Program”) to allow for the repurchase of up to $75.0 million of outstanding shares of the Company’s common stock, $0.01 par value per share, commencing on March 31, 2022. On March 15, 2023, the Company's Board of Directors extended the term of the Repurchase Program through March 31, 2024. During the 13 weeks ended May 4, 2024, the Company did not repurchase any shares of its common stock.</w:t>
      </w:r>
    </w:p>
    <w:p>
      <w:pPr>
        <w:spacing w:after="0" w:line="286" w:lineRule="exact"/>
        <w:rPr>
          <w:sz w:val="20"/>
          <w:szCs w:val="20"/>
          <w:color w:val="auto"/>
        </w:rPr>
      </w:pPr>
    </w:p>
    <w:p>
      <w:pPr>
        <w:ind w:right="8760" w:firstLine="8"/>
        <w:spacing w:after="0" w:line="377" w:lineRule="auto"/>
        <w:tabs>
          <w:tab w:leader="none" w:pos="3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During the 13 weeks ended May 4, 2024, the Company recognized total stock-based compensation expense of $1,174. During the 13 weeks ended April 29, 2023, the Company recognized total stock-based compensation expense of $1,250. Compensation expense related to the Company’s stock-based payment awards is recognized in selling, general, and administrative expenses in the condensed consolidated statements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As of May 4, 2024, the number of shares available for awards under the 2019 Performance Incentive Plan (the “2019 Plan”) was 349. As of May 4, 2024, there were 2,383 unvested stock awards outstanding under the 2019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2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As of May 4, 2024, the number of shares available for awards under the Inducement Plan was 545. As of May 4, 2024, there were 455 unvested stock awards outstanding under the Inducement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that was approved by the Company’s stockholders in fiscal year 2015, under which 800 shares of common stock were authorized. During the 13 weeks ended May 4, 2024, no shares were issued under the ESPP and, as of May 4, 2024, the number of shares available for issuance was 128.</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During the 13 weeks ended May 4, 2024, the Company issued 874 nonvested performance-based stock awards to employees at a weighted average grant date fair value of $3.09 per share. The nonvested performance-based stock awards issued to employees vest in full on the third anniversary of the grant date. The number of shares issued is contingent on management achieving a fiscal year 2024 performance target for earnings before interest, taxes, depreciation and amortization expenses. If a minimum threshold performance target is not achieved, no shares will vest. The maximum number of shares subject to the award is 874. Following the end of the performance period for fiscal year 2024, the number of shares eligible to vest, based on actual performance, will be fixed and vesting will then be subject to each employee’s continued employment over the remaining service period.</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13 weeks ended April 29,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and 2025), the number of shares eligible to vest, based on actual performance, will be fixed and vesting will then be subject to each employee’s continued employment over the remaining service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60" w:type="dxa"/>
            <w:vAlign w:val="bottom"/>
          </w:tcPr>
          <w:p>
            <w:pPr>
              <w:spacing w:after="0"/>
              <w:rPr>
                <w:sz w:val="16"/>
                <w:szCs w:val="16"/>
                <w:color w:val="auto"/>
              </w:rPr>
            </w:pP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FF0FC"/>
          </w:tcPr>
          <w:p>
            <w:pPr>
              <w:spacing w:after="0"/>
              <w:rPr>
                <w:sz w:val="20"/>
                <w:szCs w:val="20"/>
                <w:color w:val="auto"/>
              </w:rPr>
            </w:pPr>
          </w:p>
        </w:tc>
      </w:tr>
      <w:tr>
        <w:trPr>
          <w:trHeight w:val="238"/>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r>
      <w:tr>
        <w:trPr>
          <w:trHeight w:val="24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May 4, 2024</w:t>
            </w:r>
          </w:p>
        </w:tc>
        <w:tc>
          <w:tcPr>
            <w:tcW w:w="116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7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60" w:type="dxa"/>
            <w:vAlign w:val="bottom"/>
          </w:tcPr>
          <w:p>
            <w:pPr>
              <w:spacing w:after="0"/>
              <w:rPr>
                <w:sz w:val="16"/>
                <w:szCs w:val="16"/>
                <w:color w:val="auto"/>
              </w:rPr>
            </w:pP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20"/>
                <w:szCs w:val="20"/>
                <w:color w:val="auto"/>
              </w:rPr>
            </w:pPr>
          </w:p>
        </w:tc>
      </w:tr>
      <w:tr>
        <w:trPr>
          <w:trHeight w:val="238"/>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r>
      <w:tr>
        <w:trPr>
          <w:trHeight w:val="24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April 29, 2023</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-1420495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-1403350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During the 13 weeks ended May 4, 2024, the Company issued 1,087 nonvested stock units to employees of the Company at an average value of $3.10 per share. The shares vest over a three-year period with one third of the shares vesting on each anniversary of the grant date.</w:t>
      </w:r>
    </w:p>
    <w:p>
      <w:pPr>
        <w:spacing w:after="0" w:line="1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During the 13 weeks ended April 29, 2023, the Company issued 522 nonvested stock units to employees of the Company at an average value of $8.20 per share. The shares vest over a three-year period with one third of the shares vesting on each anniversary of the grant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7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60" w:type="dxa"/>
            <w:vAlign w:val="bottom"/>
          </w:tcPr>
          <w:p>
            <w:pPr>
              <w:spacing w:after="0"/>
              <w:rPr>
                <w:sz w:val="16"/>
                <w:szCs w:val="16"/>
                <w:color w:val="auto"/>
              </w:rPr>
            </w:pP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20"/>
                <w:szCs w:val="20"/>
                <w:color w:val="auto"/>
              </w:rPr>
            </w:pPr>
          </w:p>
        </w:tc>
      </w:tr>
      <w:tr>
        <w:trPr>
          <w:trHeight w:val="23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r>
      <w:tr>
        <w:trPr>
          <w:trHeight w:val="247"/>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May 4, 2024</w:t>
            </w:r>
          </w:p>
        </w:tc>
        <w:tc>
          <w:tcPr>
            <w:tcW w:w="112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8"/>
        </w:trPr>
        <w:tc>
          <w:tcPr>
            <w:tcW w:w="76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5"/>
        </w:trPr>
        <w:tc>
          <w:tcPr>
            <w:tcW w:w="7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-1052830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-1035685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7660" w:type="dxa"/>
            <w:vAlign w:val="bottom"/>
          </w:tcPr>
          <w:p>
            <w:pPr>
              <w:spacing w:after="0"/>
              <w:rPr>
                <w:sz w:val="16"/>
                <w:szCs w:val="16"/>
                <w:color w:val="auto"/>
              </w:rPr>
            </w:pP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20"/>
                <w:szCs w:val="20"/>
                <w:color w:val="auto"/>
              </w:rPr>
            </w:pPr>
          </w:p>
        </w:tc>
      </w:tr>
      <w:tr>
        <w:trPr>
          <w:trHeight w:val="238"/>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0"/>
                <w:szCs w:val="20"/>
                <w:color w:val="auto"/>
              </w:rPr>
            </w:pPr>
          </w:p>
        </w:tc>
      </w:tr>
      <w:tr>
        <w:trPr>
          <w:trHeight w:val="247"/>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April 29, 2023</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8360" w:firstLine="8"/>
        <w:spacing w:after="0" w:line="377" w:lineRule="auto"/>
        <w:tabs>
          <w:tab w:leader="none" w:pos="33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9"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 xml:space="preserve">On January 22, 2024, Jon Kogut filed a putative class action lawsuit against the Company and the members of its Board of Directors in the Delaware Court of Chancery (the “2024 Delaware Litigation”). The lawsuit asserts claims on behalf of a putative class comprised of all stockholders other than defendants and any current directors or officers of the Company and is captioned </w:t>
      </w:r>
      <w:r>
        <w:rPr>
          <w:rFonts w:ascii="Times New Roman" w:cs="Times New Roman" w:eastAsia="Times New Roman" w:hAnsi="Times New Roman"/>
          <w:sz w:val="17"/>
          <w:szCs w:val="17"/>
          <w:i w:val="1"/>
          <w:iCs w:val="1"/>
          <w:color w:val="auto"/>
        </w:rPr>
        <w:t>Kogut v. Bejar, et al.</w:t>
      </w:r>
      <w:r>
        <w:rPr>
          <w:rFonts w:ascii="Times New Roman" w:cs="Times New Roman" w:eastAsia="Times New Roman" w:hAnsi="Times New Roman"/>
          <w:sz w:val="17"/>
          <w:szCs w:val="17"/>
          <w:color w:val="auto"/>
        </w:rPr>
        <w:t>, C.A. No. 2024-0055-MTZ (Del. Ch.). In his complaint, Mr.</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Kogut contends that certain provisions in the Company’s advance notice bylaws (the “Challenged Provisions”) are invalid and void and that the members of the Board have breached their fiduciary duty of loyalty by adopting and maintaining the Challenged Provisions. In addition to seeking declaratory, equitable, and injunctive relief, Mr. Kogut seeks an award of attorneys’ fees and other costs and expenses on behalf of the putative class.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2023 Form 10-K. Also see “Special Note Regarding Forward-Looking Statements” preceding Part I. of this 10-Q. Additionally, our historical results are not necessarily indicative of the results that may be expected or achieved for any future period.</w:t>
      </w:r>
    </w:p>
    <w:p>
      <w:pPr>
        <w:spacing w:after="0" w:line="178" w:lineRule="exact"/>
        <w:rPr>
          <w:sz w:val="20"/>
          <w:szCs w:val="20"/>
          <w:color w:val="auto"/>
        </w:rPr>
      </w:pPr>
    </w:p>
    <w:p>
      <w:pPr>
        <w:ind w:right="760"/>
        <w:spacing w:after="0" w:line="28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3"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inflation and monetary supply shifts, rising interest rates, recession risks and potential disruptions from the Russia-Ukraine conflict and the Israel-Hamas war. Our results may also be impacted by the upcoming presidential election this year. In fiscal year 2023 and continuing into the first quarter of fiscal year 2024 our business was impacted by consumer inflationary pressures and recession concerns. As a result of our recent performance, we have taken steps to reduce our total inventory, implement cost reduction measures to reflect current sales trends and reduce investments in future new store openings. We currently do not plan to open any new stores during fiscal year 2024.</w:t>
      </w:r>
    </w:p>
    <w:p>
      <w:pPr>
        <w:spacing w:after="0" w:line="18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employees, all of which are uncertain and cannot be predicted; however, any continued or renewed disruption resulting from these factors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3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2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5" w:lineRule="exact"/>
        <w:rPr>
          <w:sz w:val="20"/>
          <w:szCs w:val="20"/>
          <w:color w:val="auto"/>
        </w:rPr>
      </w:pPr>
    </w:p>
    <w:p>
      <w:pPr>
        <w:ind w:left="1020" w:right="200" w:hanging="368"/>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rising interest rates, tightening of credit markets, and potential disruptions from the ongoing Russia-Ukraine conflict and Israel-Hamas war and pandemics;</w:t>
      </w:r>
    </w:p>
    <w:p>
      <w:pPr>
        <w:spacing w:after="0" w:line="6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6" w:lineRule="exact"/>
        <w:rPr>
          <w:rFonts w:ascii="Times New Roman" w:cs="Times New Roman" w:eastAsia="Times New Roman" w:hAnsi="Times New Roman"/>
          <w:sz w:val="18"/>
          <w:szCs w:val="18"/>
          <w:color w:val="auto"/>
        </w:rPr>
      </w:pPr>
    </w:p>
    <w:p>
      <w:pPr>
        <w:ind w:left="1020" w:right="140" w:hanging="368"/>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On December 6, 2022, a state court judge in Oregon temporarily blocked the enforcement of such legislation pending trial. The measure is also being challenged in a related case in federal court and is currently on appeal in the U.S. Court of Appeals for the Ninth Circuit. We currently operate eight stores in the State of Oregon.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long-term growth strategy. During fiscal year 2023, we opened 15 new stores. We currently do not plan to open any new stores during fiscal year 2024. We may deviate from this target if attractive opportunities are presented to open stores or acquire new store locations outside of our target growth 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17" w:lineRule="exact"/>
        <w:rPr>
          <w:sz w:val="20"/>
          <w:szCs w:val="20"/>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6"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 through strategic acquisitions;</w:t>
      </w:r>
    </w:p>
    <w:p>
      <w:pPr>
        <w:spacing w:after="0" w:line="116" w:lineRule="exact"/>
        <w:rPr>
          <w:rFonts w:ascii="Times New Roman" w:cs="Times New Roman" w:eastAsia="Times New Roman" w:hAnsi="Times New Roman"/>
          <w:sz w:val="18"/>
          <w:szCs w:val="18"/>
          <w:color w:val="auto"/>
        </w:rPr>
      </w:pPr>
    </w:p>
    <w:p>
      <w:pPr>
        <w:ind w:left="840" w:right="140" w:hanging="368"/>
        <w:spacing w:after="0" w:line="28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4" w:lineRule="exact"/>
        <w:rPr>
          <w:rFonts w:ascii="Times New Roman" w:cs="Times New Roman" w:eastAsia="Times New Roman" w:hAnsi="Times New Roman"/>
          <w:sz w:val="18"/>
          <w:szCs w:val="18"/>
          <w:color w:val="auto"/>
        </w:rPr>
      </w:pPr>
    </w:p>
    <w:p>
      <w:pPr>
        <w:ind w:left="840" w:right="220" w:hanging="368"/>
        <w:spacing w:after="0" w:line="28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larger assortment and inventory, expanded content and expertise and better user experience; and</w:t>
      </w:r>
    </w:p>
    <w:p>
      <w:pPr>
        <w:spacing w:after="0" w:line="54"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During fiscal year 2023, we commenced an effort to reduce our inventory and initiated various strategic promotional efforts as part of this plan, which impacted our gross margins during fiscal year 2023. At the end of fiscal year 2023, we completed our inventory reduction plan. During the first quarter of fiscal year 2024 our gross margins have begun to return to rates more in line with historical numbers.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income plus interest expense (benefit), income tax expense (benefit), depreciation and amortization, stock-based compensation expense, transition and severance costs related to director and officer transitions, and other gains, losses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60" w:type="dxa"/>
            <w:vAlign w:val="bottom"/>
          </w:tcPr>
          <w:p>
            <w:pPr>
              <w:spacing w:after="0"/>
              <w:rPr>
                <w:sz w:val="13"/>
                <w:szCs w:val="13"/>
                <w:color w:val="auto"/>
              </w:rPr>
            </w:pPr>
          </w:p>
        </w:tc>
        <w:tc>
          <w:tcPr>
            <w:tcW w:w="1040" w:type="dxa"/>
            <w:vAlign w:val="bottom"/>
          </w:tcPr>
          <w:p>
            <w:pPr>
              <w:jc w:val="center"/>
              <w:ind w:left="548"/>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408"/>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220" w:type="dxa"/>
            <w:vAlign w:val="bottom"/>
            <w:gridSpan w:val="2"/>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1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1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7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76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-2362835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-2045970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-1729105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-1412240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-1223645</wp:posOffset>
            </wp:positionV>
            <wp:extent cx="713232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jc w:val="center"/>
              <w:ind w:left="388"/>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34"/>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80" w:type="dxa"/>
            <w:vAlign w:val="bottom"/>
          </w:tcPr>
          <w:p>
            <w:pPr>
              <w:spacing w:after="0"/>
              <w:rPr>
                <w:sz w:val="16"/>
                <w:szCs w:val="16"/>
                <w:color w:val="auto"/>
              </w:rPr>
            </w:pPr>
          </w:p>
        </w:tc>
        <w:tc>
          <w:tcPr>
            <w:tcW w:w="41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Camping</w:t>
            </w:r>
          </w:p>
        </w:tc>
        <w:tc>
          <w:tcPr>
            <w:tcW w:w="180" w:type="dxa"/>
            <w:vAlign w:val="bottom"/>
          </w:tcPr>
          <w:p>
            <w:pPr>
              <w:spacing w:after="0"/>
              <w:rPr>
                <w:sz w:val="17"/>
                <w:szCs w:val="17"/>
                <w:color w:val="auto"/>
              </w:rPr>
            </w:pPr>
          </w:p>
        </w:tc>
        <w:tc>
          <w:tcPr>
            <w:tcW w:w="42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cooking equipment, sleeping bags, tents and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tools</w:t>
            </w:r>
          </w:p>
        </w:tc>
        <w:tc>
          <w:tcPr>
            <w:tcW w:w="92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92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Bait, electronics, fishing rods, flotation items, fly fishing,</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lines, lures, reels, tackle and small boats</w:t>
            </w:r>
          </w:p>
        </w:tc>
        <w:tc>
          <w:tcPr>
            <w:tcW w:w="92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92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Ammunition, archery items, ATV accessories, blinds and</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tree stands, decoys, firearms, reloading equipment and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shooting gear</w:t>
            </w:r>
          </w:p>
        </w:tc>
        <w:tc>
          <w:tcPr>
            <w:tcW w:w="92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63.9 %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Optics, Electronics, Accessories, and Other</w:t>
            </w:r>
          </w:p>
        </w:tc>
        <w:tc>
          <w:tcPr>
            <w:tcW w:w="1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920" w:type="dxa"/>
            <w:vAlign w:val="bottom"/>
          </w:tcPr>
          <w:p>
            <w:pPr>
              <w:spacing w:after="0"/>
              <w:rPr>
                <w:sz w:val="18"/>
                <w:szCs w:val="18"/>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discounts</w:t>
            </w:r>
          </w:p>
        </w:tc>
        <w:tc>
          <w:tcPr>
            <w:tcW w:w="920" w:type="dxa"/>
            <w:vAlign w:val="bottom"/>
          </w:tcPr>
          <w:p>
            <w:pPr>
              <w:spacing w:after="0"/>
              <w:rPr>
                <w:sz w:val="20"/>
                <w:szCs w:val="20"/>
                <w:color w:val="auto"/>
              </w:rPr>
            </w:pPr>
          </w:p>
        </w:tc>
        <w:tc>
          <w:tcPr>
            <w:tcW w:w="680" w:type="dxa"/>
            <w:vAlign w:val="bottom"/>
            <w:gridSpan w:val="3"/>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100.0 %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-2336800</wp:posOffset>
            </wp:positionV>
            <wp:extent cx="7132320" cy="427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290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-1035685</wp:posOffset>
            </wp:positionV>
            <wp:extent cx="7132320" cy="427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4, 2024 Compared to Thirteen Weeks Ended April 29, 2023</w:t>
      </w:r>
    </w:p>
    <w:p>
      <w:pPr>
        <w:spacing w:after="0" w:line="11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decreased by $23.3 million, or 8.7%, to $244.2 million during the 13 weeks ended May 4,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$267.5 million in the corresponding period of fiscal year 2023. Our net sales decreased primarily due to the impact of consumer inflationary pressures on discretionary spending, resulting in a decline in store traffic and lower demand across most product categories. This decrease was partially offset by our opening of 11 new stores since April 29, 2023. Stores that have been open for less than 12 months and were, therefore, not included in our same store sales, contributed $15.6 million to net sales. E-commerce driven sales comprised more than 18% of total sales for the 13 weeks ended May 4, 2024. Same store sales decreased by 13.5% during the 13 weeks ended May 4, 2024 compared to the corresponding 13-week period of fiscal year 2023, primarily as a result of the factors discussed above that impacted net sales.</w:t>
      </w:r>
    </w:p>
    <w:p>
      <w:pPr>
        <w:spacing w:after="0" w:line="21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Fishing department saw a net sales increase of $2.6 million during the first quarter of fiscal year 2024 compared to the corresponding period of fiscal year 2023 primarily driven by our reset of fishing inventory and the opening of 11 new stores since April 29, 2023. Our Hunting and Shooting, Footwear, Apparel, Camping and Optics, Electronics, Accessories and Other departments saw net sales decreases of $12.9 million, $5.0 million, $5.0 million $1.5 million and $1.5 million, respectively, in the first quarter of fiscal year 2024 compared to the corresponding period of fiscal year 2023. Within our Hunting and Shooting department, sales from our firearm and ammunition categories saw decreases of $5.8 million or 7.3% and $5.0 million or 10.8%, respectively, during the first quarter of fiscal year 2024 compared to the corresponding period of fiscal year 2023. The decreases in the firearm and ammunition categories were primarily due to the impact of consumer inflationary pressures on discretionary spending. This was partially offset by our opening of 11 new stores since April 29, 2023.</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May 4, 2024, our Fishing department saw an increase of 4.1% compared to the corresponding period of fiscal year 2023. Our Footwear, Apparel, Hunting and Shooting, Optics, Electronics, Accessories and Other and Camping departments saw decreased same store sales of 31.5%, 31.1%, 12.9%, 11.3%, and 10.9%, respectively, compared to the corresponding period of fiscal year 2023 , as a result of a decline in store traffic and the impact of consumer inflationary pressures on discretionary spending. As of May 4, 2024, 135 stores were included in our same store sales calculation.</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$6.3 million, or 7.8%, to $73.8 million during the 13 weeks ended May 4, 2024 compared to $80.0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of fiscal year 2023. As a percentage of net sales, gross profit increased to 30.2% during the 13 weeks ended May 4, 2024, compared to 29.9% for the corresponding period of fiscal year 2023, primarily driven by improved product mix and rate within our Fishing department.</w:t>
      </w:r>
    </w:p>
    <w:p>
      <w:pPr>
        <w:spacing w:after="0" w:line="19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$4.6 million, or 4.6%, to $94.4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13 weeks ended May 4, 2024, compared to $99.0 million for the corresponding period of fiscal year 2023. This decrease was primarily the result of decreases in payroll and pre-opening expenses of $5.0 million and $2.3 million, respectively, during the 13 weeks ended May 4, 2024 primarily related to our ongoing cost reduction efforts and decision to not open new stores during the current year. These decreases were partially offset by increases of $2.1 million and $1.6 million in rent and depreciation expenses, respectively, during the 13 weeks ended May 4, 2024 primarily as a result of opening 11 new stores since April 29, 2023.</w:t>
      </w:r>
    </w:p>
    <w:p>
      <w:pPr>
        <w:spacing w:after="0" w:line="18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decreased approximately 18% and 9%, respectively, compared to the corresponding period of fiscal year 2023. As a percentage of net sales, selling, general, and administrative expenses increased to 38.6% of net sales in the first quarter of fiscal year 2024, compared to 37.0% of net sales in the first quarter of fiscal year 2023, as a result of the factors discussed above.</w:t>
      </w:r>
    </w:p>
    <w:p>
      <w:pPr>
        <w:spacing w:after="0" w:line="2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$0.9 million, or 45%, to $2.9 million during the 13 weeks ended May 4, 2024, compared to $2.0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of fiscal year 2023. Interest expense increased primarily because of increased borrowings on our revolving credit facility and higher interest rates during the first quarter of fiscal year 2024 compared to the corresponding period of fiscal year 2023.</w:t>
      </w:r>
    </w:p>
    <w:p>
      <w:pPr>
        <w:spacing w:after="0" w:line="19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benefit of $5.5 million during the 13 weeks ended May 4, 2024 compared to an income tax benefit of $5.4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2023. Our effective tax rates during the 13 weeks ended May 4, 2024 and April 29, 2023 were 23.2% and 25.5%, respectively. Our effective tax rate will generally differ from the U.S. Federal statutory rate of 21.0%, due to state taxes, permanent items, and discrete items relating to stock award deductions.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of May 4, 2024, we had cash and cash equivalents of $2.2 million and working capital, consisting of current assets less current liabilities, of $47.2 million. As of February 3, 2024, we had cash and cash equivalents of $3.1 million and working capital, consisting of current assets less current liabilities, of $65.4 million.</w:t>
      </w:r>
    </w:p>
    <w:p>
      <w:pPr>
        <w:spacing w:after="0" w:line="17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7"/>
          <w:szCs w:val="17"/>
          <w:color w:val="auto"/>
        </w:rPr>
        <w:t>Our primary cash requirements are for seasonal working capital needs and capital expenditures related to ongoing operational needs and new system investments. For both the short-term and the long-term, our primary sources of cash are borrowings under our $350.0 million senior secured revolving credit facility and operating cash flows. We believe that our cash on hand, cash generated by operating activities and funds available under our revolving credit facility will be sufficient to finance our operating activities and meet our cash requirements for at least the next twelve months and beyond.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1"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As of May 4, 2024, our expected operating lease payments for the remainder of fiscal year 2024 are $56.1 million and our total committed lease payments are $477.6 million. Other operating lease obligations consist of distribution center equipment. See Note 6, “Leases” to our unaudited condensed consolidated financial statements included in this 10-Q.</w:t>
      </w:r>
    </w:p>
    <w:p>
      <w:pPr>
        <w:spacing w:after="0" w:line="17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During the 13 weeks ended May 4, 2024, we incurred approximately $3.3 million in capital expenditures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technological investments and general store maintenance. We expect capital expenditures, net of tenant allowances, between $20 million and $25 million for fiscal year 2024 (inclusive of amounts spent during the 13 weeks ended May 4, 2024) primarily related to strategic technological investments, such as planogramming, merchandising and replenishment and store scheduling tools, and general store fleet maintenance.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As of May 4, 2024, $176.1 million was outstanding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Assuming no additional repayments or borrowings on our revolving credit facility after May 4, 2024, our interest payments would be approximately $8.8 million for the remainder of fiscal year 2024 based on the interest rate as of May 4, 2024. See below under “Indebtedness” for additional information regarding our revolving credit facility, including the interest rate applicable to any borrowing under such facility.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2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58"/>
        </w:trPr>
        <w:tc>
          <w:tcPr>
            <w:tcW w:w="7740" w:type="dxa"/>
            <w:vAlign w:val="bottom"/>
          </w:tcPr>
          <w:p>
            <w:pPr>
              <w:spacing w:after="0"/>
              <w:rPr>
                <w:sz w:val="13"/>
                <w:szCs w:val="13"/>
                <w:color w:val="auto"/>
              </w:rPr>
            </w:pPr>
          </w:p>
        </w:tc>
        <w:tc>
          <w:tcPr>
            <w:tcW w:w="980" w:type="dxa"/>
            <w:vAlign w:val="bottom"/>
            <w:tcBorders>
              <w:top w:val="single" w:sz="8" w:color="auto"/>
            </w:tcBorders>
          </w:tcPr>
          <w:p>
            <w:pPr>
              <w:jc w:val="center"/>
              <w:ind w:left="482"/>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5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36"/>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(34,650 )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(36,985 )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980" w:type="dxa"/>
            <w:vAlign w:val="bottom"/>
          </w:tcPr>
          <w:p>
            <w:pPr>
              <w:spacing w:after="0"/>
              <w:rPr>
                <w:sz w:val="20"/>
                <w:szCs w:val="20"/>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(3,288 )</w:t>
            </w:r>
          </w:p>
        </w:tc>
        <w:tc>
          <w:tcPr>
            <w:tcW w:w="4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(22,757 )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60,393</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r>
    </w:tbl>
    <w:p>
      <w:pPr>
        <w:spacing w:after="0" w:line="24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Net cash used in operating activities was $34.7 million for the 13 weeks ended May 4, 2024, compared to net cash used in operating activities of $37.0 million for the corresponding period of fiscal year 2023, a change of approximately $2.3 million. The decrease in our cash flows used in operating activities was primarily driven by reduced inventory build up during the 13 weeks ended May 4, 2024 compared to the corresponding period of fiscal year 2023.</w:t>
      </w:r>
    </w:p>
    <w:p>
      <w:pPr>
        <w:spacing w:after="0" w:line="15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was $3.3 million for the 13 weeks ended May 4, 2024, compared to $22.8 million for the corresponding period of fiscal year 2023, a decrease of approximately $19.5 million, which was primarily driven by reduced capital expenditures related to the construction of new stores and the refurbishment of existing stores during the 13 weeks ended May 4, 2024 compared to the corresponding period of fiscal year 2023.</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was $37.0 million for the 13 weeks ended May 4, 2024, compared to net cash provided by financing activities of $60.4 million for the corresponding period of fiscal year 2023, a change of approximately $23.4 million. The decrease in cash provided by financing activities was primarily the result of decreased borrowings under our revolving credit facility.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$176.1 million outstanding as of May 4, 2024. Borrowings under our revolving credit facility are subject to a borrowing base calculation. Our revolving credit facility is governed by an amended and restated credit agreement with a consortium of banks led by Wells Fargo Bank, National Association (“Wells Fargo”). As of May 4, 2024, we had $78.6 million available for borrowing, calculated based upon certain borrowing base restrictions, and $2.0 million in stand-by commercial letters of credit.</w:t>
      </w:r>
    </w:p>
    <w:p>
      <w:pPr>
        <w:spacing w:after="0" w:line="18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 The weighted average interest rate on the amounts outstanding under the revolving credit facility as of May 4, 2024 and February 3, 2024 was 6.72% and 7.01%, respectively.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all obligations under the revolving credit facility are guaranteed by Holdings. All of the obligations under the revolving credit facility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revolving credit facility requires us to maintain a minimum availability at all times of not less than 10% of the gross borrowing base. In addition, the credit agreement governing our revolving credit facility contains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contains customary events of default. As of May 4, 2024, we were in compliance with all covenants under the credit agreement governing our revolving credit facility.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2023 Form 10-K.</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income plus interest expense (benefit), income tax expense (benefit), depreciation and amortization, stock-based compensation expense, transition and severance costs related to director and officer transitions, and other gains, losses and expenses that we do not believe are indicative of our ongoing expenses. Beginning with the three months ended October 28, 2023, we no longer add back new store pre-opening expenses to our net (loss) income to determine Adjusted EBITDA. The presentation of past periods has been conformed to the current presentation. Net (loss) income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9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net income or other condensed consolidated statement of operations data prepared in accordance with GAAP. Some of these limitations include, but are not limited to:</w:t>
      </w:r>
    </w:p>
    <w:p>
      <w:pPr>
        <w:spacing w:after="0" w:line="55"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2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 reconciliation of net income, to Adjusted EBITDA and a calculation of Adjusted EBITDA margin is set forth below for the periods presented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58"/>
        </w:trPr>
        <w:tc>
          <w:tcPr>
            <w:tcW w:w="77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right"/>
              <w:ind w:right="782"/>
              <w:spacing w:after="0" w:line="157"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33"/>
              <w:spacing w:after="0" w:line="157"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200" w:type="dxa"/>
            <w:vAlign w:val="bottom"/>
            <w:gridSpan w:val="2"/>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gridSpan w:val="2"/>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(18,066 )</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(15,639 )</w:t>
            </w:r>
          </w:p>
        </w:tc>
        <w:tc>
          <w:tcPr>
            <w:tcW w:w="100" w:type="dxa"/>
            <w:vAlign w:val="bottom"/>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(5,469 )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(5,367 )</w:t>
            </w:r>
          </w:p>
        </w:tc>
        <w:tc>
          <w:tcPr>
            <w:tcW w:w="100" w:type="dxa"/>
            <w:vAlign w:val="bottom"/>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(2)</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Director and officer transition costs (3)</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28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4"/>
                <w:szCs w:val="24"/>
                <w:color w:val="auto"/>
              </w:rPr>
            </w:pPr>
          </w:p>
        </w:tc>
      </w:tr>
      <w:tr>
        <w:trPr>
          <w:trHeight w:val="45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244,240</w:t>
            </w:r>
          </w:p>
        </w:tc>
        <w:tc>
          <w:tcPr>
            <w:tcW w:w="2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34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(4)</w:t>
            </w:r>
          </w:p>
        </w:tc>
        <w:tc>
          <w:tcPr>
            <w:tcW w:w="34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-633095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-615950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-795655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2380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4" w:lineRule="exact"/>
        <w:rPr>
          <w:sz w:val="20"/>
          <w:szCs w:val="20"/>
          <w:color w:val="auto"/>
        </w:rPr>
      </w:pPr>
    </w:p>
    <w:p>
      <w:pPr>
        <w:ind w:left="520" w:right="40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three months ended October 28, 2023, we no longer add back new store pre-opening expenses to our net (loss) income to determine Adjusted EBITDA. The presentation of past periods has been conformed to the current presentation. For the 13 weeks ended April 29, 2023 we had $2.3 million in new store pre-opening expenses.</w:t>
      </w:r>
    </w:p>
    <w:p>
      <w:pPr>
        <w:spacing w:after="0" w:line="2" w:lineRule="exact"/>
        <w:rPr>
          <w:rFonts w:ascii="Times New Roman" w:cs="Times New Roman" w:eastAsia="Times New Roman" w:hAnsi="Times New Roman"/>
          <w:sz w:val="18"/>
          <w:szCs w:val="18"/>
          <w:color w:val="auto"/>
        </w:rPr>
      </w:pPr>
    </w:p>
    <w:p>
      <w:pPr>
        <w:ind w:left="520" w:right="34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non-cash expenses related to equity instruments granted to employees under our 2019 Performance Incentive Plan, Inducement Plan and Employee Stock Purchase Plan.</w:t>
      </w:r>
    </w:p>
    <w:p>
      <w:pPr>
        <w:spacing w:after="0" w:line="1" w:lineRule="exact"/>
        <w:rPr>
          <w:rFonts w:ascii="Times New Roman" w:cs="Times New Roman" w:eastAsia="Times New Roman" w:hAnsi="Times New Roman"/>
          <w:sz w:val="18"/>
          <w:szCs w:val="18"/>
          <w:color w:val="auto"/>
        </w:rPr>
      </w:pPr>
    </w:p>
    <w:p>
      <w:pPr>
        <w:ind w:left="520" w:right="42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relating to the departure of directors and officers and the recruitment of directors and key members of our senior management team.</w:t>
      </w:r>
    </w:p>
    <w:p>
      <w:pPr>
        <w:ind w:left="520" w:right="34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principal exposure to market risk relates to changes in interest rates. Borrowings under our revolving credit facility carry a floating interest rate tied to SOFR,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May 4, 2024, assuming the amount outstanding under our revolving credit facility would be outstanding for a full year, a 100 basis point increase in interest rates would have increased our interest expense by $1.7 million. We do not use derivative financial instruments for speculative or trading purposes. However, this does not preclude our adoption of specific hedging strategies in the future.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May 4,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May 4, 2024 that have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See Note 11, “Commitments and Contingencies” to our condensed consolidated financial statements for additional information, which is incorporated herein by reference.</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pending lawsuit described in Note 11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2023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6"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p>
      <w:pPr>
        <w:spacing w:after="0" w:line="3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w:t>
      </w:r>
    </w:p>
    <w:p>
      <w:pPr>
        <w:spacing w:after="0" w:line="3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101.INS*</w:t>
      </w:r>
    </w:p>
    <w:p>
      <w:pPr>
        <w:spacing w:after="0" w:line="3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101.CAL*</w:t>
      </w:r>
    </w:p>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101.DEF*</w:t>
      </w: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101.LAB*</w:t>
      </w:r>
    </w:p>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101.PRE*</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00"/>
        <w:spacing w:after="0" w:line="281"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(incorporated</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by reference to Exhibit 3.1 to the Current Report 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162560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80"/>
            <w:col w:w="9520"/>
          </w:cols>
          <w:pgMar w:left="320" w:top="768" w:right="359" w:bottom="1440" w:gutter="0" w:footer="0" w:header="0"/>
          <w:type w:val="continuous"/>
        </w:sectPr>
      </w:pPr>
    </w:p>
    <w:p>
      <w:pPr>
        <w:spacing w:after="0" w:line="276" w:lineRule="exact"/>
        <w:rPr>
          <w:sz w:val="20"/>
          <w:szCs w:val="20"/>
          <w:color w:val="auto"/>
        </w:rPr>
      </w:pPr>
    </w:p>
    <w:p>
      <w:pPr>
        <w:ind w:left="340" w:hanging="319"/>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55" w:lineRule="exact"/>
        <w:rPr>
          <w:sz w:val="20"/>
          <w:szCs w:val="20"/>
          <w:color w:val="auto"/>
        </w:rPr>
      </w:pPr>
    </w:p>
    <w:p>
      <w:pPr>
        <w:ind w:left="20"/>
        <w:spacing w:after="0"/>
        <w:tabs>
          <w:tab w:leader="none" w:pos="5640" w:val="left"/>
          <w:tab w:leader="none" w:pos="8180" w:val="left"/>
        </w:tabs>
        <w:rPr>
          <w:sz w:val="20"/>
          <w:szCs w:val="20"/>
          <w:color w:val="auto"/>
        </w:rPr>
      </w:pPr>
      <w:r>
        <w:rPr>
          <w:rFonts w:ascii="Times New Roman" w:cs="Times New Roman" w:eastAsia="Times New Roman" w:hAnsi="Times New Roman"/>
          <w:sz w:val="18"/>
          <w:szCs w:val="18"/>
          <w:color w:val="auto"/>
        </w:rPr>
        <w:t>Date: June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26035</wp:posOffset>
            </wp:positionV>
            <wp:extent cx="32708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20"/>
        <w:spacing w:after="0"/>
        <w:tabs>
          <w:tab w:leader="none" w:pos="5640" w:val="left"/>
          <w:tab w:leader="none" w:pos="8180" w:val="left"/>
        </w:tabs>
        <w:rPr>
          <w:sz w:val="20"/>
          <w:szCs w:val="20"/>
          <w:color w:val="auto"/>
        </w:rPr>
      </w:pPr>
      <w:r>
        <w:rPr>
          <w:rFonts w:ascii="Times New Roman" w:cs="Times New Roman" w:eastAsia="Times New Roman" w:hAnsi="Times New Roman"/>
          <w:sz w:val="18"/>
          <w:szCs w:val="18"/>
          <w:color w:val="auto"/>
        </w:rPr>
        <w:t>Date: June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26035</wp:posOffset>
            </wp:positionV>
            <wp:extent cx="32708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Jeff White</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6" w:lineRule="exact"/>
        <w:rPr>
          <w:rFonts w:ascii="Times New Roman" w:cs="Times New Roman" w:eastAsia="Times New Roman" w:hAnsi="Times New Roman"/>
          <w:sz w:val="18"/>
          <w:szCs w:val="18"/>
          <w:color w:val="auto"/>
        </w:rPr>
      </w:pPr>
    </w:p>
    <w:p>
      <w:pPr>
        <w:jc w:val="both"/>
        <w:ind w:left="1020" w:right="20" w:hanging="503"/>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2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right="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4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2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78"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017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801745" cy="8255"/>
                    </a:xfrm>
                    <a:prstGeom prst="rect">
                      <a:avLst/>
                    </a:prstGeom>
                    <a:noFill/>
                  </pic:spPr>
                </pic:pic>
              </a:graphicData>
            </a:graphic>
          </wp:anchor>
        </w:drawing>
      </w:r>
    </w:p>
    <w:p>
      <w:pPr>
        <w:spacing w:after="0" w:line="23"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7"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4"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35" w:name="page36"/>
    <w:bookmarkEnd w:id="3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0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6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6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1"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00" w:hanging="514"/>
        <w:spacing w:after="0" w:line="281"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78"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7846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spacing w:after="0" w:line="23"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7"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spacing w:after="0" w:line="14"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0" w:right="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6"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May 4, 2024, as filed with the Securities and Exchange Commission on the date hereof (the “Report”), Paul Stone, President and Chief Executive Officer of the Registrant, and Jeff White, Chief Financial Officer and Secretary of the Registrant, hereby certify, pursuant to 18 U.S.C. Section 1350, as adopted pursuant to Section 906 of the Sarbanes-Oxley Act of 2002, that, to the best of their knowledge:</w:t>
      </w:r>
    </w:p>
    <w:p>
      <w:pPr>
        <w:spacing w:after="0" w:line="7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3"/>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5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7846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5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Jeff White</w:t>
      </w:r>
    </w:p>
    <w:p>
      <w:pPr>
        <w:spacing w:after="0" w:line="2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7846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spacing w:after="0" w:line="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0" w:right="37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9"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38" Type="http://schemas.openxmlformats.org/officeDocument/2006/relationships/hyperlink" Target="https://www.sec.gov/Archives/edgar/data/1132105/000095017023026914/spwh-ex3_1.htm" TargetMode="External"/><Relationship Id="rId240" Type="http://schemas.openxmlformats.org/officeDocument/2006/relationships/hyperlink" Target="https://www.sec.gov/ix?doc=/Archives/edgar/data/1132105/000095017024041618/spwh-20240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2024-06-05T07:36:35Z</dcterms:created>
  <dcterms:modified xsi:type="dcterms:W3CDTF">2024-06-05T07:36:35Z</dcterms:modified>
</cp:coreProperties>
</file>