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4100" w:right="2640" w:hanging="4092"/>
        <w:spacing w:after="0" w:line="328" w:lineRule="auto"/>
        <w:tabs>
          <w:tab w:leader="none" w:pos="3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May 2, 2026</w:t>
      </w:r>
    </w:p>
    <w:p>
      <w:pPr>
        <w:ind w:left="54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940" w:right="2660" w:hanging="3932"/>
        <w:spacing w:after="0" w:line="299" w:lineRule="auto"/>
        <w:tabs>
          <w:tab w:leader="none" w:pos="33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from_______to_______</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SPORTSMAN’S WAREHOUSE HOLDINGS, INC.</w:t>
      </w:r>
    </w:p>
    <w:p>
      <w:pPr>
        <w:spacing w:after="0" w:line="2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tbl>
      <w:tblPr>
        <w:tblLayout w:type="fixed"/>
        <w:tblInd w:w="1080" w:type="dxa"/>
        <w:tblCellMar>
          <w:top w:w="0" w:type="dxa"/>
          <w:left w:w="0" w:type="dxa"/>
          <w:bottom w:w="0" w:type="dxa"/>
          <w:right w:w="0" w:type="dxa"/>
        </w:tblCellMar>
      </w:tblPr>
      <w:tr>
        <w:trPr>
          <w:trHeight w:val="203"/>
        </w:trPr>
        <w:tc>
          <w:tcPr>
            <w:tcW w:w="51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39-1975614</w:t>
            </w:r>
          </w:p>
        </w:tc>
      </w:tr>
      <w:tr>
        <w:trPr>
          <w:trHeight w:val="203"/>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60"/>
        </w:trPr>
        <w:tc>
          <w:tcPr>
            <w:tcW w:w="51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rPr>
              <w:t>1475 West 9000 South, Suite A, West Jordan, Utah</w:t>
            </w:r>
          </w:p>
        </w:tc>
        <w:tc>
          <w:tcPr>
            <w:tcW w:w="2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84088</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31"/>
        </w:trPr>
        <w:tc>
          <w:tcPr>
            <w:tcW w:w="376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r>
      <w:tr>
        <w:trPr>
          <w:trHeight w:val="196"/>
        </w:trPr>
        <w:tc>
          <w:tcPr>
            <w:tcW w:w="376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Title of each class</w:t>
            </w:r>
          </w:p>
        </w:tc>
        <w:tc>
          <w:tcPr>
            <w:tcW w:w="37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Trading Symbol(s)</w:t>
            </w:r>
          </w:p>
        </w:tc>
        <w:tc>
          <w:tcPr>
            <w:tcW w:w="37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65"/>
        </w:trPr>
        <w:tc>
          <w:tcPr>
            <w:tcW w:w="3760" w:type="dxa"/>
            <w:vAlign w:val="bottom"/>
            <w:tcBorders>
              <w:left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Common stock, par value $0.01 per share</w:t>
            </w:r>
          </w:p>
        </w:tc>
        <w:tc>
          <w:tcPr>
            <w:tcW w:w="374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SPWH</w:t>
            </w:r>
          </w:p>
        </w:tc>
        <w:tc>
          <w:tcPr>
            <w:tcW w:w="374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13"/>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9" w:lineRule="exact"/>
        <w:rPr>
          <w:sz w:val="24"/>
          <w:szCs w:val="24"/>
          <w:color w:val="auto"/>
        </w:rPr>
      </w:pPr>
    </w:p>
    <w:p>
      <w:pPr>
        <w:ind w:right="4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155" w:lineRule="exact"/>
        <w:rPr>
          <w:sz w:val="24"/>
          <w:szCs w:val="24"/>
          <w:color w:val="auto"/>
        </w:rPr>
      </w:pPr>
    </w:p>
    <w:p>
      <w:pPr>
        <w:ind w:left="520" w:right="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20"/>
        <w:spacing w:after="0" w:line="184" w:lineRule="exact"/>
        <w:tabs>
          <w:tab w:leader="none" w:pos="8020" w:val="left"/>
          <w:tab w:leader="none" w:pos="86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number of shares of the registrant’s common stock, $0.01 par value per share, outstanding as of June 2, 2026 was 39,019,795.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20" w:type="dxa"/>
            <w:vAlign w:val="bottom"/>
            <w:gridSpan w:val="24"/>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00" w:type="dxa"/>
            <w:vAlign w:val="bottom"/>
            <w:gridSpan w:val="2"/>
          </w:tcPr>
          <w:p>
            <w:pPr>
              <w:spacing w:after="0"/>
              <w:rPr>
                <w:sz w:val="24"/>
                <w:szCs w:val="24"/>
                <w:color w:val="auto"/>
              </w:rPr>
            </w:pPr>
          </w:p>
        </w:tc>
        <w:tc>
          <w:tcPr>
            <w:tcW w:w="24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860" w:type="dxa"/>
            <w:vAlign w:val="bottom"/>
            <w:gridSpan w:val="11"/>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24"/>
                <w:szCs w:val="24"/>
                <w:color w:val="auto"/>
              </w:rPr>
            </w:pPr>
          </w:p>
        </w:tc>
        <w:tc>
          <w:tcPr>
            <w:tcW w:w="6340" w:type="dxa"/>
            <w:vAlign w:val="bottom"/>
            <w:gridSpan w:val="9"/>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86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24"/>
                <w:szCs w:val="24"/>
                <w:color w:val="auto"/>
              </w:rPr>
            </w:pPr>
          </w:p>
        </w:tc>
        <w:tc>
          <w:tcPr>
            <w:tcW w:w="556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0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400" w:type="dxa"/>
            <w:vAlign w:val="bottom"/>
            <w:gridSpan w:val="2"/>
          </w:tcPr>
          <w:p>
            <w:pPr>
              <w:spacing w:after="0"/>
              <w:rPr>
                <w:sz w:val="24"/>
                <w:szCs w:val="24"/>
                <w:color w:val="auto"/>
              </w:rPr>
            </w:pP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00" w:type="dxa"/>
            <w:vAlign w:val="bottom"/>
            <w:gridSpan w:val="2"/>
          </w:tcPr>
          <w:p>
            <w:pPr>
              <w:spacing w:after="0"/>
              <w:rPr>
                <w:sz w:val="24"/>
                <w:szCs w:val="24"/>
                <w:color w:val="auto"/>
              </w:rPr>
            </w:pPr>
          </w:p>
        </w:tc>
        <w:tc>
          <w:tcPr>
            <w:tcW w:w="43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2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400" w:type="dxa"/>
            <w:vAlign w:val="bottom"/>
            <w:gridSpan w:val="2"/>
          </w:tcPr>
          <w:p>
            <w:pPr>
              <w:spacing w:after="0"/>
              <w:rPr>
                <w:sz w:val="24"/>
                <w:szCs w:val="24"/>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5"/>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FF"/>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00" w:type="dxa"/>
            <w:vAlign w:val="bottom"/>
            <w:tcBorders>
              <w:top w:val="single" w:sz="8" w:color="0000FF"/>
            </w:tcBorders>
            <w:gridSpan w:val="2"/>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7420" w:type="dxa"/>
            <w:vAlign w:val="bottom"/>
            <w:gridSpan w:val="14"/>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80" w:type="dxa"/>
            <w:vAlign w:val="bottom"/>
          </w:tcPr>
          <w:p>
            <w:pPr>
              <w:spacing w:after="0"/>
              <w:rPr>
                <w:sz w:val="24"/>
                <w:szCs w:val="24"/>
                <w:color w:val="auto"/>
              </w:rPr>
            </w:pP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4"/>
                <w:szCs w:val="24"/>
                <w:color w:val="auto"/>
              </w:rPr>
            </w:pPr>
          </w:p>
        </w:tc>
        <w:tc>
          <w:tcPr>
            <w:tcW w:w="698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00" w:type="dxa"/>
            <w:vAlign w:val="bottom"/>
            <w:gridSpan w:val="2"/>
          </w:tcPr>
          <w:p>
            <w:pPr>
              <w:spacing w:after="0"/>
              <w:rPr>
                <w:sz w:val="24"/>
                <w:szCs w:val="24"/>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20" w:type="dxa"/>
            <w:vAlign w:val="bottom"/>
            <w:gridSpan w:val="1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operate on a fiscal calendar that, in a given fiscal year, consists of the 52- or 53-week period ending on the Saturday closest to January 31st. Our first fiscal quarters for fiscal year 2026 and fiscal year 2025 ended on May 2, 2026 and May 3, 2025, respectively. Both quarters consisted of 13 weeks and are referred to herein as the first quarter of fiscal year 2026 and the first quarter of fiscal year 2025, respectively. Fiscal year 2026 contains 52 weeks of operations and will end on January 30, 2027. Fiscal year 2025 contained 52 weeks of operations and ended on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2026” refer to our fiscal year ending January 30, 2027; and (ii) “fiscal year 2025” refer to our fiscal year ended January 31, 2026.</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 NOTE REGARDING FORWARD-LOOKING STATEMENTS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“10-Q”)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of our forward-looking statements are subject to risks and uncertainties that may cause our actual results to differ materially from our expectations.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factors that could cause actual results to differ materially from our expectations include, but are not limited to:</w:t>
      </w:r>
    </w:p>
    <w:p>
      <w:pPr>
        <w:spacing w:after="0" w:line="97" w:lineRule="exact"/>
        <w:rPr>
          <w:sz w:val="20"/>
          <w:szCs w:val="20"/>
          <w:color w:val="auto"/>
        </w:rPr>
      </w:pPr>
    </w:p>
    <w:p>
      <w:pPr>
        <w:ind w:left="1020" w:right="14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and future government regulations, in particular regulations relating to the sale of firearms and ammunition, which may negatively impact the demand for our products and our ability to conduct our business;</w:t>
      </w:r>
    </w:p>
    <w:p>
      <w:pPr>
        <w:spacing w:after="0" w:line="50"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retail-based business model, which is impacted by general economic and market conditions such as elevated interest rates, inflationary pressures and economic, market and financial uncertainties that may cause a decline in consumer spending;</w:t>
      </w:r>
    </w:p>
    <w:p>
      <w:pPr>
        <w:spacing w:after="0" w:line="50" w:lineRule="exact"/>
        <w:rPr>
          <w:rFonts w:ascii="Times New Roman" w:cs="Times New Roman" w:eastAsia="Times New Roman" w:hAnsi="Times New Roman"/>
          <w:sz w:val="18"/>
          <w:szCs w:val="18"/>
          <w:color w:val="auto"/>
        </w:rPr>
      </w:pPr>
    </w:p>
    <w:p>
      <w:pPr>
        <w:ind w:left="1020" w:right="24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concentration of stores in the Western United States, which makes us susceptible to adverse conditions in this region, and could affect our sales and cause our operating results to suffer;</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highly fragmented and competitive industry in which we operate and the potential for increased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consumer demands, including regional preferences, which we may not be able to identify and respond to in a timely manner;</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entrance into new markets or operations in existing markets, including our long-term strategy to open new stores in future periods, which may not be successful;</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to close underperforming stores, if we decide to do so, which costs may be significant;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stringent and evolving U.S. obligations related to data privacy and security;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general macroeconomic conditions, such as labor shortages, inflation, elevated interest rates, the impacts of tariffs and trade disputes, economic slowdowns, and recessions or market corrections.</w:t>
      </w:r>
    </w:p>
    <w:p>
      <w:pPr>
        <w:spacing w:after="0" w:line="64"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Item 1A., Risk Factors,” appearing in our Annual Report on Form 10-K for the fiscal year ended January 31, 2026 (our “Fiscal 2025 Form 10-K”) and “Part I., Item 2., Management’s Discussion and Analysis of Financial Condition and Results of Operations” and elsewhere in this 10-Q,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10-Q and otherwise in the context of these risks and uncertainties.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8" w:lineRule="exact"/>
        <w:rPr>
          <w:sz w:val="20"/>
          <w:szCs w:val="20"/>
          <w:color w:val="auto"/>
        </w:rPr>
      </w:pPr>
    </w:p>
    <w:p>
      <w:pPr>
        <w:jc w:val="center"/>
        <w:ind w:right="40"/>
        <w:spacing w:after="0" w:line="265"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BALANCE SHEETS Amounts in Thousands, Except Par Value Data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2,</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7100" w:type="dxa"/>
            <w:vAlign w:val="bottom"/>
          </w:tcPr>
          <w:p>
            <w:pPr>
              <w:spacing w:after="0"/>
              <w:rPr>
                <w:sz w:val="15"/>
                <w:szCs w:val="15"/>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r>
      <w:tr>
        <w:trPr>
          <w:trHeight w:val="20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Merchandise inventories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387,149</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312,858</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100" w:type="dxa"/>
            <w:vAlign w:val="bottom"/>
          </w:tcPr>
          <w:p>
            <w:pPr>
              <w:spacing w:after="0"/>
              <w:rPr>
                <w:sz w:val="18"/>
                <w:szCs w:val="18"/>
                <w:color w:val="auto"/>
              </w:rPr>
            </w:pPr>
          </w:p>
        </w:tc>
      </w:tr>
      <w:tr>
        <w:trPr>
          <w:trHeight w:val="210"/>
        </w:trPr>
        <w:tc>
          <w:tcPr>
            <w:tcW w:w="7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410,704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337,741</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295,578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288,590</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 of use asset</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133,329</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Definite lived intangibles, net</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r>
      <w:tr>
        <w:trPr>
          <w:trHeight w:val="250"/>
        </w:trPr>
        <w:tc>
          <w:tcPr>
            <w:tcW w:w="7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120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838,003</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762,582</w:t>
            </w:r>
          </w:p>
        </w:tc>
        <w:tc>
          <w:tcPr>
            <w:tcW w:w="100" w:type="dxa"/>
            <w:vAlign w:val="bottom"/>
            <w:shd w:val="clear" w:color="auto" w:fill="CFF0FC"/>
          </w:tcPr>
          <w:p>
            <w:pPr>
              <w:spacing w:after="0"/>
              <w:rPr>
                <w:sz w:val="21"/>
                <w:szCs w:val="21"/>
                <w:color w:val="auto"/>
              </w:rPr>
            </w:pPr>
          </w:p>
        </w:tc>
      </w:tr>
      <w:tr>
        <w:trPr>
          <w:trHeight w:val="413"/>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75,892</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110,709</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102,450</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53,763</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 lease liability</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106,155</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348,755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249,029</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Term loan, net</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44,165</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276,489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279,933</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Finance lease liability, noncurrent</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322,044</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324,993</w:t>
            </w:r>
          </w:p>
        </w:tc>
        <w:tc>
          <w:tcPr>
            <w:tcW w:w="100" w:type="dxa"/>
            <w:vAlign w:val="bottom"/>
          </w:tcPr>
          <w:p>
            <w:pPr>
              <w:spacing w:after="0"/>
              <w:rPr>
                <w:sz w:val="18"/>
                <w:szCs w:val="18"/>
                <w:color w:val="auto"/>
              </w:rPr>
            </w:pPr>
          </w:p>
        </w:tc>
      </w:tr>
      <w:tr>
        <w:trPr>
          <w:trHeight w:val="210"/>
        </w:trPr>
        <w:tc>
          <w:tcPr>
            <w:tcW w:w="7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670,799</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$.01 par value; 20,000 shares authorized; 0 shares issued and outstanding</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10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 shares authorized; 38,968 and 38,641 shares issued</w:t>
            </w:r>
          </w:p>
        </w:tc>
        <w:tc>
          <w:tcPr>
            <w:tcW w:w="1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FF0FC"/>
          </w:tcPr>
          <w:p>
            <w:pPr>
              <w:spacing w:after="0"/>
              <w:rPr>
                <w:sz w:val="20"/>
                <w:szCs w:val="20"/>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88,911</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earnings</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77,415</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167,204</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188,560</w:t>
            </w:r>
          </w:p>
        </w:tc>
        <w:tc>
          <w:tcPr>
            <w:tcW w:w="100" w:type="dxa"/>
            <w:vAlign w:val="bottom"/>
          </w:tcPr>
          <w:p>
            <w:pPr>
              <w:spacing w:after="0"/>
              <w:rPr>
                <w:sz w:val="18"/>
                <w:szCs w:val="18"/>
                <w:color w:val="auto"/>
              </w:rPr>
            </w:pPr>
          </w:p>
        </w:tc>
      </w:tr>
      <w:tr>
        <w:trPr>
          <w:trHeight w:val="250"/>
        </w:trPr>
        <w:tc>
          <w:tcPr>
            <w:tcW w:w="7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0" w:type="dxa"/>
            <w:vAlign w:val="bottom"/>
            <w:tcBorders>
              <w:bottom w:val="single" w:sz="8" w:color="auto"/>
            </w:tcBorders>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838,003</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-3805555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-3788410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-2545080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-1713865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-1422400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-316230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STATEMENTS OF OPERATIONS Amounts in Thousands, Except Per Share Data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6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tcPr>
          <w:p>
            <w:pPr>
              <w:jc w:val="right"/>
              <w:ind w:right="124"/>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60" w:type="dxa"/>
            <w:vAlign w:val="bottom"/>
          </w:tcPr>
          <w:p>
            <w:pPr>
              <w:jc w:val="right"/>
              <w:ind w:right="913"/>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100" w:type="dxa"/>
            <w:vAlign w:val="bottom"/>
          </w:tcPr>
          <w:p>
            <w:pPr>
              <w:spacing w:after="0"/>
              <w:rPr>
                <w:sz w:val="10"/>
                <w:szCs w:val="10"/>
                <w:color w:val="auto"/>
              </w:rPr>
            </w:pPr>
          </w:p>
        </w:tc>
      </w:tr>
      <w:tr>
        <w:trPr>
          <w:trHeight w:val="173"/>
        </w:trPr>
        <w:tc>
          <w:tcPr>
            <w:tcW w:w="4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gridSpan w:val="2"/>
            <w:shd w:val="clear" w:color="auto" w:fill="CFF0FC"/>
          </w:tcPr>
          <w:p>
            <w:pPr>
              <w:jc w:val="right"/>
              <w:ind w:right="142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256,078</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249,103</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6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180,295</w:t>
            </w:r>
          </w:p>
        </w:tc>
        <w:tc>
          <w:tcPr>
            <w:tcW w:w="3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173,460</w:t>
            </w:r>
          </w:p>
        </w:tc>
        <w:tc>
          <w:tcPr>
            <w:tcW w:w="100" w:type="dxa"/>
            <w:vAlign w:val="bottom"/>
          </w:tcPr>
          <w:p>
            <w:pPr>
              <w:spacing w:after="0"/>
              <w:rPr>
                <w:sz w:val="18"/>
                <w:szCs w:val="18"/>
                <w:color w:val="auto"/>
              </w:rPr>
            </w:pPr>
          </w:p>
        </w:tc>
      </w:tr>
      <w:tr>
        <w:trPr>
          <w:trHeight w:val="209"/>
        </w:trPr>
        <w:tc>
          <w:tcPr>
            <w:tcW w:w="4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75,783</w:t>
            </w:r>
          </w:p>
        </w:tc>
        <w:tc>
          <w:tcPr>
            <w:tcW w:w="3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93,887</w:t>
            </w:r>
          </w:p>
        </w:tc>
        <w:tc>
          <w:tcPr>
            <w:tcW w:w="3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95,256</w:t>
            </w:r>
          </w:p>
        </w:tc>
        <w:tc>
          <w:tcPr>
            <w:tcW w:w="100" w:type="dxa"/>
            <w:vAlign w:val="bottom"/>
          </w:tcPr>
          <w:p>
            <w:pPr>
              <w:spacing w:after="0"/>
              <w:rPr>
                <w:sz w:val="24"/>
                <w:szCs w:val="24"/>
                <w:color w:val="auto"/>
              </w:rPr>
            </w:pPr>
          </w:p>
        </w:tc>
      </w:tr>
      <w:tr>
        <w:trPr>
          <w:trHeight w:val="209"/>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3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(18,104)</w:t>
            </w:r>
          </w:p>
        </w:tc>
        <w:tc>
          <w:tcPr>
            <w:tcW w:w="7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(19,613)</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losses</w:t>
            </w: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3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(20,805)</w:t>
            </w:r>
          </w:p>
        </w:tc>
        <w:tc>
          <w:tcPr>
            <w:tcW w:w="7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(22,584)</w:t>
            </w: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(1,330)</w:t>
            </w:r>
          </w:p>
        </w:tc>
      </w:tr>
      <w:tr>
        <w:trPr>
          <w:trHeight w:val="20"/>
        </w:trPr>
        <w:tc>
          <w:tcPr>
            <w:tcW w:w="460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tcPr>
          <w:p>
            <w:pPr>
              <w:spacing w:after="0"/>
              <w:rPr>
                <w:sz w:val="18"/>
                <w:szCs w:val="18"/>
                <w:color w:val="auto"/>
              </w:rPr>
            </w:pPr>
          </w:p>
        </w:tc>
        <w:tc>
          <w:tcPr>
            <w:tcW w:w="1600" w:type="dxa"/>
            <w:vAlign w:val="bottom"/>
          </w:tcPr>
          <w:p>
            <w:pPr>
              <w:jc w:val="right"/>
              <w:ind w:right="142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(21,848)</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(21,254)</w:t>
            </w:r>
          </w:p>
        </w:tc>
      </w:tr>
      <w:tr>
        <w:trPr>
          <w:trHeight w:val="20"/>
        </w:trPr>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13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960" w:type="dxa"/>
            <w:vAlign w:val="bottom"/>
            <w:gridSpan w:val="2"/>
          </w:tcPr>
          <w:p>
            <w:pPr>
              <w:jc w:val="right"/>
              <w:ind w:right="142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(0.56)</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r>
      <w:tr>
        <w:trPr>
          <w:trHeight w:val="20"/>
        </w:trPr>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0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960" w:type="dxa"/>
            <w:vAlign w:val="bottom"/>
            <w:gridSpan w:val="2"/>
            <w:shd w:val="clear" w:color="auto" w:fill="CFF0FC"/>
          </w:tcPr>
          <w:p>
            <w:pPr>
              <w:jc w:val="right"/>
              <w:ind w:right="1424"/>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760" w:type="dxa"/>
            <w:vAlign w:val="bottom"/>
            <w:shd w:val="clear" w:color="auto" w:fill="CFF0FC"/>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(0.56)</w:t>
            </w:r>
          </w:p>
        </w:tc>
      </w:tr>
      <w:tr>
        <w:trPr>
          <w:trHeight w:val="197"/>
        </w:trPr>
        <w:tc>
          <w:tcPr>
            <w:tcW w:w="4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360" w:type="dxa"/>
            <w:vAlign w:val="bottom"/>
            <w:tcBorders>
              <w:top w:val="single" w:sz="8" w:color="CFF0FC"/>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4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36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46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38,764</w:t>
            </w:r>
          </w:p>
        </w:tc>
        <w:tc>
          <w:tcPr>
            <w:tcW w:w="3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38,144</w:t>
            </w:r>
          </w:p>
        </w:tc>
        <w:tc>
          <w:tcPr>
            <w:tcW w:w="100" w:type="dxa"/>
            <w:vAlign w:val="bottom"/>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-2082165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-1379855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-1379855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-1096645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-488315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-471170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Thirteen Weeks Ended May 2, 2026 and May 3,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tcBorders>
              <w:top w:val="single" w:sz="8" w:color="auto"/>
            </w:tcBorders>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23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960" w:type="dxa"/>
            <w:vAlign w:val="bottom"/>
            <w:tcBorders>
              <w:top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38,041</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149,324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7"/>
                <w:szCs w:val="17"/>
                <w:color w:val="auto"/>
              </w:rPr>
            </w:pPr>
          </w:p>
        </w:tc>
        <w:tc>
          <w:tcPr>
            <w:tcW w:w="9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 restricted stock</w:t>
            </w: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units</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(21,254)</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(21,254)</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3,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38,318</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31, 2026</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38,641</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7"/>
                <w:szCs w:val="17"/>
                <w:color w:val="auto"/>
              </w:rPr>
            </w:pPr>
          </w:p>
        </w:tc>
        <w:tc>
          <w:tcPr>
            <w:tcW w:w="96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w:t>
            </w: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(21,848)</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(21,848)</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2,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38,968</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-2047875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-2031365</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-2047875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-2031365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-2047875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-2031365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-2047875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-2031365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-2047875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-2031365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-2047875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-2031365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-2031365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-1336675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-1336675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-1336675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-1336675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-1336675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-1336675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-882015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-865505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-882015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-865505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-882015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-865505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-882015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-865505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-882015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-865505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-882015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-865505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-170815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-170815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gridSpan w:val="2"/>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jc w:val="right"/>
              <w:ind w:right="511"/>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(21,848)</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discount on debt and deferred financing fees</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definite lived intangible</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asset dispositions</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operating assets and liabilities, net of amounts acquired: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(9,125)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Merchandise inventories</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(74,291)</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22,986</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4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(55,370)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4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borrowings on line of credit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(decrease) in book overdraft</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finance leases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withholdings on restricted stock units</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 and discount on term loan</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0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64,766</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6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tcPr>
          <w:p>
            <w:pPr>
              <w:spacing w:after="0"/>
              <w:rPr>
                <w:sz w:val="20"/>
                <w:szCs w:val="20"/>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9260" w:type="dxa"/>
            <w:vAlign w:val="bottom"/>
            <w:gridSpan w:val="5"/>
          </w:tcPr>
          <w:p>
            <w:pPr>
              <w:jc w:val="center"/>
              <w:ind w:left="17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condensed consolidated financial statements.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10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-4319905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-4319905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-3754120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-3754120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-2630805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-2630805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-2339340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-2339340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(unaudited)</w:t>
      </w:r>
    </w:p>
    <w:p>
      <w:pPr>
        <w:spacing w:after="0" w:line="311" w:lineRule="exact"/>
        <w:rPr>
          <w:sz w:val="20"/>
          <w:szCs w:val="20"/>
          <w:color w:val="auto"/>
        </w:rPr>
      </w:pPr>
    </w:p>
    <w:p>
      <w:pPr>
        <w:ind w:right="7200" w:firstLine="8"/>
        <w:spacing w:after="0" w:line="378" w:lineRule="auto"/>
        <w:tabs>
          <w:tab w:leader="none" w:pos="2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 Description of Business</w:t>
      </w:r>
    </w:p>
    <w:p>
      <w:pPr>
        <w:ind w:right="340"/>
        <w:spacing w:after="0" w:line="266" w:lineRule="auto"/>
        <w:rPr>
          <w:sz w:val="20"/>
          <w:szCs w:val="20"/>
          <w:color w:val="auto"/>
        </w:rPr>
      </w:pPr>
      <w:r>
        <w:rPr>
          <w:rFonts w:ascii="Times New Roman" w:cs="Times New Roman" w:eastAsia="Times New Roman" w:hAnsi="Times New Roman"/>
          <w:sz w:val="18"/>
          <w:szCs w:val="18"/>
          <w:color w:val="auto"/>
        </w:rPr>
        <w:t>Sportsman’s Warehouse Holdings, Inc., a Delaware corporation (“Holdings”), and its subsidiaries (collectively, the “Company”) operate retail sporting goods stores. As of May 2, 2026, the Company operated 147 stores in 32 states. The Company also operates an e-commerce platform at www.sportsmans.com. The Company’s stores and website are aggregated into one operating and reportable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management of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The Company’s condensed consolidated balance sheet as of January 31, 2026 was derived from the Company’s audited consolidated balance sheet as of that date. All other condensed consolidated financial statements contained herein are unaudited and reflect all adjustments that are, in the opinion of management, necessary to summarize fairly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condensed consolidated financial statements for the periods presented. All of these adjustments are of a normal recurring nature. The results of the fiscal quarter ended May 2, 2026 are not necessarily indicative of the results to be obtained for the fiscal year ending January 30, 2027. These condensed consolidated financial statements should be read in conjunction with the Company’s audited consolidated financial statements and notes thereto included in the Company’s Annual Report on Form 10-K for the fiscal year ended January 31, 2026 filed with the SEC on March 31, 2026 (the “Fiscal 2025 Form 10-K”).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Fiscal 2025 Form 10-K. The Company has consistently applied the accounting policies to all periods presented in the condensed consolidated financial statements presented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which includes improvements to the disclosures in the notes to the financial statements of specified information about certain costs and expenses. This ASU requires the disclosure of (1) amounts of certain relevant expenses included in each caption on the face of the financial statements, (2) certain amounts that are already required to be disclosed under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an entity's definition of selling expenses. This ASU is effective for public entities for annual periods beginning after December 15, 2026, and interim reporting periods beginning after December 15, 2027 with early adoption permitted. The Company is evaluating the future impact of the issuance of this ASU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accounting policy</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immaterial credit for purchases to certain municipalities.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 is for single performance obligations for the following distinct items:</w:t>
      </w:r>
    </w:p>
    <w:p>
      <w:pPr>
        <w:spacing w:after="0" w:line="117" w:lineRule="exact"/>
        <w:rPr>
          <w:sz w:val="20"/>
          <w:szCs w:val="20"/>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rewards program</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8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exists. Based upon historical experience, gift cards are predominantly redeemed in the first two years following their issuance date. The Company does not sell or provide gift cards that carry expiration dates.</w:t>
      </w:r>
    </w:p>
    <w:p>
      <w:pPr>
        <w:spacing w:after="0" w:line="18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Accounting Standards Codification (“ASC”) 606 requires the Company to allocate the transaction price between the goods and the loyalty reward points based on the relative standalone selling price. The Company recognizes revenue for the breakage of loyalty reward points as revenue in proportion to the pattern of customer redemption of the points by applying an estimated breakage rate of 35.0% using historical rates and future expectations.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it relates to e-commerce sales, the Company accounts for shipping and handling as fulfillment activities, and not as a separate performance obligation. Accordingly, the Company recognizes revenue for only one performance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the sale of the product, at the shipping point (when the customer gains control). Revenue associated with shipping and handling is not 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associated with fulfillment are recorded in costs of goods sold.</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right of return assets, contract liabilities, and sales return liabilities with customers as of May 2,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00" w:type="dxa"/>
            <w:vAlign w:val="bottom"/>
          </w:tcPr>
          <w:p>
            <w:pPr>
              <w:spacing w:after="0"/>
              <w:rPr>
                <w:sz w:val="15"/>
                <w:szCs w:val="15"/>
                <w:color w:val="auto"/>
              </w:rPr>
            </w:pP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return assets, which are included in prepaid expenses and other</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1,754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1,567</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Estimated gift card contract liability, net of breakage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(32,278)</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loyalty contract liability, net of breakage</w:t>
            </w: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(5,361)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(5,276)</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liabilities, which are included in accrued expenses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(2,339)</w:t>
            </w:r>
          </w:p>
        </w:tc>
      </w:tr>
    </w:tbl>
    <w:p>
      <w:pPr>
        <w:spacing w:after="0" w:line="1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13 weeks ended May 2, 2026, the Company recognized approximately $363 in gift card breakage and approximately $683 in loyalty breakage. During the 13 weeks ended May 3, 2025, the Company recognized approximately $379 in gift card breakage and approximately $1,024 in loyalty breakage. During the 13 weeks ended May 2, 2026, the Company recognized revenue of $8,232 relating to contract liabilities that existed at January 31, 2026.</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 from contracts with customers</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the following table, revenue from contracts with customers is disaggregated by department. The percentage of net sales related to the Company’s departments during the 13 weeks ended May 2, 2026 and May 3, 2025, was approximately: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gridSpan w:val="10"/>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80" w:type="dxa"/>
            <w:vAlign w:val="bottom"/>
            <w:vMerge w:val="restart"/>
          </w:tcPr>
          <w:p>
            <w:pPr>
              <w:spacing w:after="0"/>
              <w:rPr>
                <w:sz w:val="10"/>
                <w:szCs w:val="10"/>
                <w:color w:val="auto"/>
              </w:rPr>
            </w:pPr>
          </w:p>
        </w:tc>
        <w:tc>
          <w:tcPr>
            <w:tcW w:w="522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5"/>
          </w:tcPr>
          <w:p>
            <w:pPr>
              <w:jc w:val="center"/>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495"/>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2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534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 coolers, outdoor</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cooking equipment, sleeping bags, tents and tools</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5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 sportswear, technical gear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wear</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53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 items, fly fishing, lines, lures,</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reels, tackle and small boats</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5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 technical footwear, trail shoes,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casual shoes, waders and work boots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Hunting and Shooting Sports</w:t>
            </w:r>
          </w:p>
        </w:tc>
        <w:tc>
          <w:tcPr>
            <w:tcW w:w="53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 and tree stands,</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decoys, firearms, reloading equipment and shooting gear</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Optics, Electronics,</w:t>
            </w:r>
          </w:p>
        </w:tc>
        <w:tc>
          <w:tcPr>
            <w:tcW w:w="5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 two-way radios,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1"/>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 and Other</w:t>
            </w: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license revenue, net of revenue discounts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737"/>
        </w:trPr>
        <w:tc>
          <w:tcPr>
            <w:tcW w:w="23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5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May 2, 2026 and January 31, 2026: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186,963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185,597</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227,894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226,651</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417,107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412,958</w:t>
            </w: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(288,215)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(279,629)</w:t>
            </w:r>
          </w:p>
        </w:tc>
        <w:tc>
          <w:tcPr>
            <w:tcW w:w="0" w:type="dxa"/>
            <w:vAlign w:val="bottom"/>
          </w:tcPr>
          <w:p>
            <w:pPr>
              <w:spacing w:after="0"/>
              <w:rPr>
                <w:sz w:val="1"/>
                <w:szCs w:val="1"/>
                <w:color w:val="auto"/>
              </w:rPr>
            </w:pPr>
          </w:p>
        </w:tc>
      </w:tr>
      <w:tr>
        <w:trPr>
          <w:trHeight w:val="20"/>
        </w:trPr>
        <w:tc>
          <w:tcPr>
            <w:tcW w:w="2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128,892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133,329</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300" w:type="dxa"/>
            <w:vAlign w:val="bottom"/>
            <w:gridSpan w:val="2"/>
            <w:vMerge w:val="continue"/>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May 2, 2026 and January 31, 2026: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Book overdraft</w:t>
            </w:r>
          </w:p>
        </w:tc>
        <w:tc>
          <w:tcPr>
            <w:tcW w:w="5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21,358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16,826</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use tax payable</w:t>
            </w: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28,091</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23,392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20" w:type="dxa"/>
            <w:vAlign w:val="bottom"/>
            <w:vMerge w:val="restart"/>
          </w:tcPr>
          <w:p>
            <w:pPr>
              <w:ind w:left="32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-4739640</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-4722495</wp:posOffset>
            </wp:positionV>
            <wp:extent cx="1111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-4739640</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-4722495</wp:posOffset>
            </wp:positionV>
            <wp:extent cx="1117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-3282315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-2999740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-1233805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the inception of the lease, the Company’s leases have remaining certain lease terms of up to 12 years, which typically includes multiple options for the Company to extend the lease which are not reasonably certain.</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period ended August 2, 2025, the Company changed the presentation of certain lease-related items within the Operating Activities section of the Statement of Cash Flows. Previously, changes in noncash lease expense and changes in operating lease liabilities were presented as separate line items. Beginning with the period ended August 2, 2025, these amounts are combined and presented as a single line item titled “Lease assets and liabilities.”</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change was made to streamline the presentation and provide a more concise view of lease-related operating cash flow activity. Prior period amounts have been reclassified to conform to the current period presentation. This change had no impact on total net cash provided by operating activities.</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fiscal year ended January 31, 2026, the Company entered into finance lease arrangements for cash management equipment, including money counting machines and store safes, utilized in retail store operations. These arrangements generally have initial lease terms of four years. The leased equipment is recognized as finance lease right-of-use assets with corresponding finance lease liabilities on the consolidated balance sheets. Lease expense is recognized through depreciation of the right-of-use assets and interest on the related lease liabilities over the lease term.</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has certain retail locations at which the leases provide for variable payments for common area maintenance, property taxes, insurance and rental payments based on future sales volumes at the leased location, which are not measurable at the inception of the lease. The Company recognizes variable lease expense for these leases in the period incurred.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agreements do not contain any material residual value guarantees or material restrictive covenants.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13 weeks ended May 2, 2026, the Company recorded a net non-cash decrease of $112 to the right of use assets and operating lease liabilities resulting from lease remeasurements from the exercise of lease extension options, acquired leases, new leases added and lease amendments.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total lease expense was comprised of the following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3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160" w:type="dxa"/>
            <w:vAlign w:val="bottom"/>
          </w:tcPr>
          <w:p>
            <w:pPr>
              <w:jc w:val="right"/>
              <w:ind w:right="342"/>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80" w:type="dxa"/>
            <w:vAlign w:val="bottom"/>
          </w:tcPr>
          <w:p>
            <w:pPr>
              <w:jc w:val="right"/>
              <w:ind w:right="1256"/>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120" w:type="dxa"/>
            <w:vAlign w:val="bottom"/>
          </w:tcPr>
          <w:p>
            <w:pPr>
              <w:spacing w:after="0"/>
              <w:rPr>
                <w:sz w:val="10"/>
                <w:szCs w:val="10"/>
                <w:color w:val="auto"/>
              </w:rPr>
            </w:pPr>
          </w:p>
        </w:tc>
      </w:tr>
      <w:tr>
        <w:trPr>
          <w:trHeight w:val="173"/>
        </w:trPr>
        <w:tc>
          <w:tcPr>
            <w:tcW w:w="3160" w:type="dxa"/>
            <w:vAlign w:val="bottom"/>
          </w:tcPr>
          <w:p>
            <w:pPr>
              <w:spacing w:after="0"/>
              <w:rPr>
                <w:sz w:val="15"/>
                <w:szCs w:val="15"/>
                <w:color w:val="auto"/>
              </w:rPr>
            </w:pPr>
          </w:p>
        </w:tc>
        <w:tc>
          <w:tcPr>
            <w:tcW w:w="3500" w:type="dxa"/>
            <w:vAlign w:val="bottom"/>
            <w:gridSpan w:val="2"/>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80" w:type="dxa"/>
            <w:vAlign w:val="bottom"/>
          </w:tcPr>
          <w:p>
            <w:pPr>
              <w:jc w:val="right"/>
              <w:ind w:right="1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500" w:type="dxa"/>
            <w:vAlign w:val="bottom"/>
            <w:gridSpan w:val="2"/>
            <w:shd w:val="clear" w:color="auto" w:fill="CFF0FC"/>
          </w:tcPr>
          <w:p>
            <w:pPr>
              <w:jc w:val="right"/>
              <w:ind w:right="198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17,464</w:t>
            </w:r>
          </w:p>
        </w:tc>
        <w:tc>
          <w:tcPr>
            <w:tcW w:w="1360" w:type="dxa"/>
            <w:vAlign w:val="bottom"/>
            <w:gridSpan w:val="3"/>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120" w:type="dxa"/>
            <w:vAlign w:val="bottom"/>
            <w:shd w:val="clear" w:color="auto" w:fill="CFF0F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3500" w:type="dxa"/>
            <w:vAlign w:val="bottom"/>
            <w:gridSpan w:val="2"/>
          </w:tcPr>
          <w:p>
            <w:pPr>
              <w:jc w:val="right"/>
              <w:ind w:right="198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3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3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20" w:type="dxa"/>
            <w:vAlign w:val="bottom"/>
            <w:shd w:val="clear" w:color="auto" w:fill="CFF0F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134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r>
      <w:tr>
        <w:trPr>
          <w:trHeight w:val="250"/>
        </w:trPr>
        <w:tc>
          <w:tcPr>
            <w:tcW w:w="31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expense</w:t>
            </w:r>
          </w:p>
        </w:tc>
        <w:tc>
          <w:tcPr>
            <w:tcW w:w="134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ind w:right="198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845"/>
        </w:trPr>
        <w:tc>
          <w:tcPr>
            <w:tcW w:w="3160" w:type="dxa"/>
            <w:vAlign w:val="bottom"/>
          </w:tcPr>
          <w:p>
            <w:pPr>
              <w:spacing w:after="0"/>
              <w:rPr>
                <w:sz w:val="24"/>
                <w:szCs w:val="24"/>
                <w:color w:val="auto"/>
              </w:rPr>
            </w:pPr>
          </w:p>
        </w:tc>
        <w:tc>
          <w:tcPr>
            <w:tcW w:w="3500" w:type="dxa"/>
            <w:vAlign w:val="bottom"/>
            <w:gridSpan w:val="2"/>
          </w:tcPr>
          <w:p>
            <w:pPr>
              <w:jc w:val="right"/>
              <w:ind w:right="862"/>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-1071245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-1053465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other information related to leases was as follows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gridSpan w:val="11"/>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6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3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ind w:left="38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center"/>
              <w:ind w:right="28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19,116</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w w:val="99"/>
              </w:rPr>
              <w:t>87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6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May 2,</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May 3,</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or remeasured operating lease liabilities</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w:t>
            </w:r>
            <w:r>
              <w:rPr>
                <w:rFonts w:ascii="Times New Roman" w:cs="Times New Roman" w:eastAsia="Times New Roman" w:hAnsi="Times New Roman"/>
                <w:sz w:val="18"/>
                <w:szCs w:val="18"/>
                <w:b w:val="1"/>
                <w:bCs w:val="1"/>
                <w:i w:val="1"/>
                <w:iCs w:val="1"/>
                <w:color w:val="auto"/>
              </w:rPr>
              <w:t>in years</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accordance with ASC 842, maturities of operating lease liabilities as of May 2, 2026 were as follows: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gridSpan w:val="3"/>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65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57,640</w:t>
            </w:r>
          </w:p>
        </w:tc>
        <w:tc>
          <w:tcPr>
            <w:tcW w:w="52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71,906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65,970</w:t>
            </w: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56,807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51,136</w:t>
            </w: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111,453</w:t>
            </w:r>
          </w:p>
        </w:tc>
        <w:tc>
          <w:tcPr>
            <w:tcW w:w="3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Undiscounted cash flows</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414,912</w:t>
            </w:r>
          </w:p>
        </w:tc>
        <w:tc>
          <w:tcPr>
            <w:tcW w:w="52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Reconciliation of lease liabilities:</w:t>
            </w:r>
          </w:p>
        </w:tc>
        <w:tc>
          <w:tcPr>
            <w:tcW w:w="22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Present values</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331,480</w:t>
            </w:r>
          </w:p>
        </w:tc>
        <w:tc>
          <w:tcPr>
            <w:tcW w:w="52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54,991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276,489</w:t>
            </w:r>
          </w:p>
        </w:tc>
        <w:tc>
          <w:tcPr>
            <w:tcW w:w="3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total</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331,480</w:t>
            </w:r>
          </w:p>
        </w:tc>
        <w:tc>
          <w:tcPr>
            <w:tcW w:w="5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Difference between undiscounted and discounted cash flows</w:t>
            </w:r>
          </w:p>
        </w:tc>
        <w:tc>
          <w:tcPr>
            <w:tcW w:w="60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83,432</w:t>
            </w:r>
          </w:p>
        </w:tc>
        <w:tc>
          <w:tcPr>
            <w:tcW w:w="520" w:type="dxa"/>
            <w:vAlign w:val="bottom"/>
            <w:gridSpan w:val="3"/>
            <w:shd w:val="clear" w:color="auto" w:fill="CFF0FC"/>
          </w:tcPr>
          <w:p>
            <w:pPr>
              <w:ind w:lef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-864870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-307975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Segments</w:t>
      </w:r>
    </w:p>
    <w:p>
      <w:pPr>
        <w:spacing w:after="0" w:line="3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Sportsman’s Warehouse, which operates solely as a sporting goods retailer, including both retail stores and an e-commerce platform. The single operating segment derives revenues from customers purchasing goods from both the Company’s retail stores and its e-commerce platform.</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single operating segment and decides how to allocate resources based on net income (loss) that also is reported on the condensed consolidated statement of operations.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Asset information is not presented here because its presentation here would be duplicative of the condensed consolidated balance sheets.</w:t>
      </w:r>
    </w:p>
    <w:p>
      <w:pPr>
        <w:spacing w:after="0" w:line="5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Net income is used in monitoring budget versus actual results. The CODM also uses net income (loss) in competitive analysis by benchmarking to the Company’s competitors. The competitive analysis along with the monitoring of budgeted versus actual results are used in assessing performance of the segment and in establishing management’s compensation.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single reportable segment revenue, segment profit or loss, and significant segment expenses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7240" w:type="dxa"/>
            <w:vAlign w:val="bottom"/>
          </w:tcPr>
          <w:p>
            <w:pPr>
              <w:spacing w:after="0"/>
              <w:rPr>
                <w:sz w:val="10"/>
                <w:szCs w:val="10"/>
                <w:color w:val="auto"/>
              </w:rPr>
            </w:pPr>
          </w:p>
        </w:tc>
        <w:tc>
          <w:tcPr>
            <w:tcW w:w="11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80" w:type="dxa"/>
            <w:vAlign w:val="bottom"/>
          </w:tcPr>
          <w:p>
            <w:pPr>
              <w:jc w:val="right"/>
              <w:ind w:right="592"/>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120" w:type="dxa"/>
            <w:vAlign w:val="bottom"/>
          </w:tcPr>
          <w:p>
            <w:pPr>
              <w:spacing w:after="0"/>
              <w:rPr>
                <w:sz w:val="10"/>
                <w:szCs w:val="10"/>
                <w:color w:val="auto"/>
              </w:rPr>
            </w:pPr>
          </w:p>
        </w:tc>
      </w:tr>
      <w:tr>
        <w:trPr>
          <w:trHeight w:val="173"/>
        </w:trPr>
        <w:tc>
          <w:tcPr>
            <w:tcW w:w="7240" w:type="dxa"/>
            <w:vAlign w:val="bottom"/>
          </w:tcPr>
          <w:p>
            <w:pPr>
              <w:spacing w:after="0"/>
              <w:rPr>
                <w:sz w:val="15"/>
                <w:szCs w:val="15"/>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FF0FC"/>
          </w:tcPr>
          <w:p>
            <w:pPr>
              <w:jc w:val="right"/>
              <w:ind w:right="9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256,078</w:t>
            </w: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249,103</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180,295</w:t>
            </w:r>
          </w:p>
        </w:tc>
        <w:tc>
          <w:tcPr>
            <w:tcW w:w="3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173,460</w:t>
            </w:r>
          </w:p>
        </w:tc>
        <w:tc>
          <w:tcPr>
            <w:tcW w:w="120" w:type="dxa"/>
            <w:vAlign w:val="bottom"/>
          </w:tcPr>
          <w:p>
            <w:pPr>
              <w:spacing w:after="0"/>
              <w:rPr>
                <w:sz w:val="18"/>
                <w:szCs w:val="18"/>
                <w:color w:val="auto"/>
              </w:rPr>
            </w:pPr>
          </w:p>
        </w:tc>
      </w:tr>
      <w:tr>
        <w:trPr>
          <w:trHeight w:val="209"/>
        </w:trPr>
        <w:tc>
          <w:tcPr>
            <w:tcW w:w="7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75,783</w:t>
            </w:r>
          </w:p>
        </w:tc>
        <w:tc>
          <w:tcPr>
            <w:tcW w:w="3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42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Payroll</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41,164</w:t>
            </w: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42,568</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Rent</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Nonrecurring operating expenses (1)</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Pre-opening (2)</w:t>
            </w:r>
          </w:p>
        </w:tc>
        <w:tc>
          <w:tcPr>
            <w:tcW w:w="1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(3)</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3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120" w:type="dxa"/>
            <w:vAlign w:val="bottom"/>
          </w:tcPr>
          <w:p>
            <w:pPr>
              <w:spacing w:after="0"/>
              <w:rPr>
                <w:sz w:val="18"/>
                <w:szCs w:val="18"/>
                <w:color w:val="auto"/>
              </w:rPr>
            </w:pPr>
          </w:p>
        </w:tc>
      </w:tr>
      <w:tr>
        <w:trPr>
          <w:trHeight w:val="209"/>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93,887</w:t>
            </w: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95,256</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(18,104)</w:t>
            </w:r>
          </w:p>
        </w:tc>
        <w:tc>
          <w:tcPr>
            <w:tcW w:w="6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(19,613)</w:t>
            </w: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losses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3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(20,805)</w:t>
            </w:r>
          </w:p>
        </w:tc>
        <w:tc>
          <w:tcPr>
            <w:tcW w:w="6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(22,584)</w:t>
            </w: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(1,330)</w:t>
            </w:r>
          </w:p>
        </w:tc>
      </w:tr>
      <w:tr>
        <w:trPr>
          <w:trHeight w:val="20"/>
        </w:trPr>
        <w:tc>
          <w:tcPr>
            <w:tcW w:w="72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1100" w:type="dxa"/>
            <w:vAlign w:val="bottom"/>
          </w:tcPr>
          <w:p>
            <w:pPr>
              <w:jc w:val="right"/>
              <w:ind w:right="94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(21,848)</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(21,254)</w:t>
            </w:r>
          </w:p>
        </w:tc>
      </w:tr>
      <w:tr>
        <w:trPr>
          <w:trHeight w:val="20"/>
        </w:trPr>
        <w:tc>
          <w:tcPr>
            <w:tcW w:w="7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-2253615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-2253615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-453390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right="600" w:hanging="512"/>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expenses the Company believes fall outside of typical costs related to normal operating conditions including management transition costs and executive retention.</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due to the opening of new store locations.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in Other operating, include: marketing, credit card fees, utilities, insurance, software support, consulting and legal.</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 May 2, 2026 and January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5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2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(835)</w:t>
            </w:r>
          </w:p>
        </w:tc>
      </w:tr>
      <w:tr>
        <w:trPr>
          <w:trHeight w:val="20"/>
        </w:trPr>
        <w:tc>
          <w:tcPr>
            <w:tcW w:w="5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12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44,323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44,165</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net of discount</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44,323</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44,165</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30, 2024, Sportsman’s Warehouse, Inc. (“SWI”) a wholly owned subsidiary of Holdings, as lead borrower, Holdings, as guarantor, and other subsidiaries of Holdings, each as borrowers, and PLC Agent LLC, as administrative and collateral agent for various lenders affiliated with Pathlight Capital (the “ABL Lenders”), entered into an ABL Term Loan Credit Agreement (as amended, the “Term Loan Agreement”) that governs the Company’s outstanding term loans. The Term Loan Agreement provides for a senior secured term loan credit facility (the “Term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Loan Facility”) in an aggregate principal amount of $45,000, consisting of $25,000 in an initial ABL term loan (the “Initial Term Loan”) and $20,000 in a delayed draw ABL term loan (the “Delayed Draw Term Loan” and collectively with the Initial Term Loan, the “Term Loans”) that were made by the ABL Lenders on July 30, 2024 and July 30, 2025, respectively. The proceeds from the Initial ABL Term Loan were used to repay obligations under the Revolving Line of Credit described in Note 9.</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incurred deferred financing costs and discounts related to the Term Loans of approximately $1,563. These costs offset the recorded carrying amount of the Term Loans on the condensed consolidated balance sheet and are amortized to interest expense over the life of the Term Loans. As of May 2, 2026 and January 31, 2026, the Company had $45,000 and $45,000, respectively, in outstanding Term Loans. As of May 2, 2026, the Company did not have any remaining amount available for borrowing under the Term Loan Facility.</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availability of loans under the Term Loan Facility was subject to a borrowing base calculation based on eligible credit card receivables, eligible inventory, the revolving borrowing base determined under the Revolving Line of Credit, and reserves. The Term Loans have a stated maturity date of the earlier of July 30, 2029 or the maturity date of the Revolving Line of Credit (described below). Borrowings under the Term Loans bear interest at a rate equal to the greater of a floor rate of 3.0% or (i) a specified term secured overnight financing rate (“SOFR”), plus (ii) 0.10% as a SOFR adjustment, plus</w:t>
      </w:r>
    </w:p>
    <w:p>
      <w:pPr>
        <w:spacing w:after="0" w:line="3" w:lineRule="exact"/>
        <w:rPr>
          <w:sz w:val="20"/>
          <w:szCs w:val="20"/>
          <w:color w:val="auto"/>
        </w:rPr>
      </w:pPr>
    </w:p>
    <w:p>
      <w:pPr>
        <w:ind w:right="160" w:firstLine="8"/>
        <w:spacing w:after="0" w:line="255"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as specified in the Term Loan Agreement. The applicable margin means either 3.50% or 6.50% depending on the type of term loan. Under the Term Loan Agreement, loans may be required to be converted to base rate loans and in such case, the applicable margin rate will increase by 1.0%. The interest rate on the outstanding Term Loans as of May 2, 2026 was 9.80%.</w:t>
      </w:r>
    </w:p>
    <w:p>
      <w:pPr>
        <w:spacing w:after="0" w:line="1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Subject to specified exceptions, SWI and the other borrowers may be required to make mandatory prepayments on the Term Loans in the event of certain dispositions of certain property or assets, in the event of receipt of certain tax refunds,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Term Loan Agreement contains customary affirmative and negative covenants, including covenants that limit the ability of the Company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Term Loan Agreement also requires the Company to maintain a minimum availability at all times under its Revolving Line of Credit of not less than the greater of $30,000 and 10% of the gross borrowing base as defined in the Revolving Line of Credit Agreement and contains customary events of default, including defaults triggered by defaults under the Revolving Line of Credit. See Note 9 for information on the Revolving Line of Credit.</w:t>
      </w:r>
    </w:p>
    <w:p>
      <w:pPr>
        <w:spacing w:after="0" w:line="10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Term Loan Facility, and all obligations under the Term Loan Facility are guaranteed by Holdings. All obligations under the Term Loan Facility are secured by a lien on substantially all of Holdings’ assets and the assets of all of Holdings’ subsidiaries, including a pledge of all capital stock of each of Holdings’ subsidiaries. The lien securing the obligations under the Term Loan Facility is a first priority lien as to equipment, fixtures, intellectual property and equity interests.</w:t>
      </w:r>
    </w:p>
    <w:p>
      <w:pPr>
        <w:spacing w:after="0" w:line="1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May 2, 2026 and January 31, 2026, the Company had $677 and $835, respectively, in outstanding deferred financing fees and discounts related to the Term Loans. During the 13 weeks ended May 2, 2026, the Company recognized $158 of non-cash interest expense with regard to the amortization of deferred financing fees and discounts related to the Term Loans. During the 13 weeks ended May 3, 2025, the Company recognized $102 of non-cash interest expense with regard to the amortization of deferred financing fees and discounts related to the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minimum payments on outstanding long-term debt were as follows as of May 2,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Minimum Payments</w:t>
            </w:r>
          </w:p>
        </w:tc>
        <w:tc>
          <w:tcPr>
            <w:tcW w:w="100" w:type="dxa"/>
            <w:vAlign w:val="bottom"/>
          </w:tcPr>
          <w:p>
            <w:pPr>
              <w:spacing w:after="0"/>
              <w:rPr>
                <w:sz w:val="15"/>
                <w:szCs w:val="15"/>
                <w:color w:val="auto"/>
              </w:rPr>
            </w:pPr>
          </w:p>
        </w:tc>
      </w:tr>
      <w:tr>
        <w:trPr>
          <w:trHeight w:val="210"/>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w:t>
            </w:r>
          </w:p>
        </w:tc>
        <w:tc>
          <w:tcPr>
            <w:tcW w:w="5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18"/>
                <w:szCs w:val="18"/>
                <w:color w:val="auto"/>
              </w:rPr>
            </w:pPr>
          </w:p>
        </w:tc>
      </w:tr>
      <w:tr>
        <w:trPr>
          <w:trHeight w:val="249"/>
        </w:trPr>
        <w:tc>
          <w:tcPr>
            <w:tcW w:w="8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Revolving Line of Credit</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SWI, as lead borrower, Holdings, and other subsidiaries of Holdings, each as borrowers, and Wells Fargo Bank, National Association (“Wells Fargo”), as administrative agent, collateral agent, swing line lender, letter of credit issuer and lender, with a consortium of banks led by Wells Fargo, entered into a Second Amendment to Amended and Restated Credit Agreement (the “Second Amendment”). Through the Second Amendment, the parties agreed to amend the Amended and Restated Credit Agreement, dated as of May 23, 2018, as previously amended May 17, 2022 by and among SWI, as lead borrower, and Wells Fargo, as agent and a lender, and the other parties listed on the signature pages thereto (as amended, including by the Second Amendment, the “Revolving Line of Credit Agreement”) that governs the Company's revolving line of credit (the “Revolving Line of Credit”).</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did not incur any additional fees related to the Revolving Line of Credit and will continue to amortize the prior recorded fees of $508 paid to various parties which were capitalized in association with the May 17, 2022 amendment. Fees associated with the Revolving Line of Credit were recorded in prepaid expenses and other assets.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May 2, 2026 and January 31, 2026, the Company had $118,858 and $57,936, respectively, in outstanding revolving loans under the Revolving Line of Credit. Amounts outstanding are offset on the condensed consolidated balance sheets by amounts in depository accounts under lock-box type arrangements, which were $12,703 and $10,412 as of May 2, 2026 and January 31, 2026, respectively. As of May 2, 2026, the Company had $114,588 available for borrowing under the Revolving Line of Credit, calculated based upon certain borrowing base restrictions and stand-by commercial letters of credit of $2,982 under the terms of the Revolving Line of Credit.</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Borrowings under the Revolving Line of Credit bear interest based on either the base rate or Term SOFR (as defined in the Revolving Line of Credit Agreement), at the Company’s option, in each case plus an applicable margin. The base rate is the greatest of (1) the floor rate (as defined in the Revolving Line of Credit Agreement as a rate of interest equal to 0.0%) (2) Wells Fargo’s prime rate, (3) the federal funds rate (as defined in the Revolving Line of Credit Agreement) plus 0.50% or (4) the one-month Term SOFR (as defined in the Revolving Line of Credit) plus 1.00%. The applicable margin for loans under the Revolving Line of Credit, which varies based on the average daily availability, ranges from 0.25% to 0.50% per year for base rate loans and from 1.35% to 1.60% per year for Term SOFR loans. The Company is required to pay a commitment fee for the unused portion of the Revolving Line of Credit, which will range from 0.20% to 0.225% per annum, depending on the average daily availability under the Revolving Line of Credit. The weighted average interest rate on the amounts outstanding under the Revolving Line of Credit as of May 2, 2026 and January 31, 2026 was 5.58% and 5.09%, respectively.</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Revolving Line of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Line of Credit Agreement also requires the Company to maintain a minimum availability at all times under its Revolving Line of Credit of not less than the greater of $30,000 and 10% of the gross borrowing base as defined in the Revolving Line of Credit and contains customary events of default, including defaults triggered by defaults under the Term Loan. As of May 2, 2026, the Company held approximately $395,816 in collateralized eligible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and credit card receivables related to the Term Loan and the Revolving Line of Credit. The Revolving Line of Credit matures on May 27, 2027.</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May 2, 2026 and January 31, 2026, the Company had $163 and $201, respectively, in outstanding deferred financing fees. During the 13 weeks ended May 2, 2026 and May 3, 2025, the Company recognized $38 and $38, respectively, of non-cash interest expense with regard to the amortization of deferred financing fees.</w:t>
      </w:r>
    </w:p>
    <w:p>
      <w:pPr>
        <w:spacing w:after="0" w:line="17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During the 13 weeks ended May 2, 2026 and May 3, 2025, gross borrowings under the Revolving Line of Credit were $341,347 and $340,138, respectively. During the 13 weeks ended May 2, 2026 and May 3, 2025, gross paydowns under the Revolving Line of Credit were $281,673 and $274,919,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provisions of the Term Loan Agreement and the Revolving Line of Credit Agreement restrict all of the net assets of the Company’s consolidated subsidiaries, which constitute all of the net assets on the Company’s condensed consolidated balance sheet as of May 2, 2026, from being used to pay any dividends without prior written consent from the financial institutions party to the respective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13 weeks ended May 2, 2026 and May 3, 2025, the Company recognized income tax expense of $1,043 and income tax benefit of $1,330, respectively. The Company’s effective tax rate during the 13 weeks ended May 2, 2026 and May 3, 2025 was -5.0% and 5.9%, respectively. The Company’s effective tax rate will generally differ from the U.S. Federal statutory rate of 21.0%, due to state taxes, permanent items, and discrete items relating to stock award deductions, and any expense offset by a valuation allowance.</w:t>
      </w:r>
    </w:p>
    <w:p>
      <w:pPr>
        <w:spacing w:after="0" w:line="284" w:lineRule="exact"/>
        <w:rPr>
          <w:sz w:val="20"/>
          <w:szCs w:val="20"/>
          <w:color w:val="auto"/>
        </w:rPr>
      </w:pPr>
    </w:p>
    <w:p>
      <w:pPr>
        <w:ind w:right="9120" w:firstLine="8"/>
        <w:spacing w:after="0" w:line="378" w:lineRule="auto"/>
        <w:tabs>
          <w:tab w:leader="none" w:pos="34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Earnings per Share</w:t>
      </w: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shares of common stock outstanding during the period. Diluted earnings per share represents basic earnings per share adjusted to include the potentially dilutive effect of nonvested share awards and nonvested share unit awards.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7360" w:type="dxa"/>
            <w:vAlign w:val="bottom"/>
          </w:tcPr>
          <w:p>
            <w:pPr>
              <w:spacing w:after="0"/>
              <w:rPr>
                <w:sz w:val="10"/>
                <w:szCs w:val="10"/>
                <w:color w:val="auto"/>
              </w:rPr>
            </w:pPr>
          </w:p>
        </w:tc>
        <w:tc>
          <w:tcPr>
            <w:tcW w:w="11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jc w:val="right"/>
              <w:ind w:right="575"/>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100" w:type="dxa"/>
            <w:vAlign w:val="bottom"/>
          </w:tcPr>
          <w:p>
            <w:pPr>
              <w:spacing w:after="0"/>
              <w:rPr>
                <w:sz w:val="10"/>
                <w:szCs w:val="10"/>
                <w:color w:val="auto"/>
              </w:rPr>
            </w:pPr>
          </w:p>
        </w:tc>
      </w:tr>
      <w:tr>
        <w:trPr>
          <w:trHeight w:val="173"/>
        </w:trPr>
        <w:tc>
          <w:tcPr>
            <w:tcW w:w="7360" w:type="dxa"/>
            <w:vAlign w:val="bottom"/>
          </w:tcPr>
          <w:p>
            <w:pPr>
              <w:spacing w:after="0"/>
              <w:rPr>
                <w:sz w:val="15"/>
                <w:szCs w:val="15"/>
                <w:color w:val="auto"/>
              </w:rPr>
            </w:pP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4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(21,848)</w:t>
            </w:r>
          </w:p>
        </w:tc>
        <w:tc>
          <w:tcPr>
            <w:tcW w:w="7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(21,254)</w:t>
            </w:r>
          </w:p>
        </w:tc>
      </w:tr>
      <w:tr>
        <w:trPr>
          <w:trHeight w:val="197"/>
        </w:trPr>
        <w:tc>
          <w:tcPr>
            <w:tcW w:w="7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38,144</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1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top w:val="single" w:sz="8" w:color="auto"/>
              <w:bottom w:val="single" w:sz="8" w:color="auto"/>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loss per share</w:t>
            </w:r>
          </w:p>
        </w:tc>
        <w:tc>
          <w:tcPr>
            <w:tcW w:w="1120" w:type="dxa"/>
            <w:vAlign w:val="bottom"/>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780" w:type="dxa"/>
            <w:vAlign w:val="bottom"/>
            <w:gridSpan w:val="2"/>
          </w:tcPr>
          <w:p>
            <w:pPr>
              <w:jc w:val="right"/>
              <w:ind w:right="5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(0.56)</w:t>
            </w:r>
          </w:p>
        </w:tc>
      </w:tr>
      <w:tr>
        <w:trPr>
          <w:trHeight w:val="20"/>
        </w:trPr>
        <w:tc>
          <w:tcPr>
            <w:tcW w:w="7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loss per share</w:t>
            </w:r>
          </w:p>
        </w:tc>
        <w:tc>
          <w:tcPr>
            <w:tcW w:w="112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780" w:type="dxa"/>
            <w:vAlign w:val="bottom"/>
            <w:gridSpan w:val="2"/>
            <w:shd w:val="clear" w:color="auto" w:fill="CFF0FC"/>
          </w:tcPr>
          <w:p>
            <w:pPr>
              <w:jc w:val="right"/>
              <w:ind w:right="5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(0.56)</w:t>
            </w:r>
          </w:p>
        </w:tc>
      </w:tr>
      <w:tr>
        <w:trPr>
          <w:trHeight w:val="197"/>
        </w:trPr>
        <w:tc>
          <w:tcPr>
            <w:tcW w:w="7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Restricted stock units considered anti-dilutive and excluded in the calculation</w:t>
            </w:r>
          </w:p>
        </w:tc>
        <w:tc>
          <w:tcPr>
            <w:tcW w:w="1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853</w:t>
            </w: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top w:val="single" w:sz="8" w:color="CFF0FC"/>
            </w:tcBorders>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-1096645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-1079500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-513715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-496570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8780" w:firstLine="8"/>
        <w:spacing w:after="0" w:line="377" w:lineRule="auto"/>
        <w:tabs>
          <w:tab w:leader="none" w:pos="34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Stock-Based Compensation</w:t>
      </w:r>
    </w:p>
    <w:p>
      <w:pPr>
        <w:spacing w:after="0" w:line="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13 weeks ended May 2, 2026 and May 3, 2025, the Company recognized total stock-based compensation expense of $779 and $793, respectively. Compensation expense related to the Company’s stock-based payment awards is recognized in selling, general, and administrative expenses in the condensed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May 2, 2026, the number of shares available for awards under the Amended and Restated 2019 Performance Incentive Plan (as amended and restated, the “Amended 2019 Plan”) was 536. As of May 2, 2026, there were 2,762 unvested stock awards outstanding under the 2019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also maintains an Amended and Restated Employee Stock Purchase Plan (the “ESPP”) that was approved by the Company’s stockholders in fiscal year 2015, under which 1,600 shares of common stock were authorized. During the 13 weeks ended May 2, 2026, no shares were issued under the ESPP and, as of May 2, 2026, the number of shares available for issuance was 638.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Performance-Based Stock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weeks ended May 2, 2026, the Company did not issue any performance-based stock awards to 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weeks ended May 3, 2025, the Company did not issue any performance-based stock awards to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performance-based stock awards (per share amounts are not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02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31, 2026</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83</w:t>
            </w: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3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May 2, 2026</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83</w:t>
            </w: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320"/>
        </w:trPr>
        <w:tc>
          <w:tcPr>
            <w:tcW w:w="4700" w:type="dxa"/>
            <w:vAlign w:val="bottom"/>
            <w:tcBorders>
              <w:top w:val="single" w:sz="8" w:color="CFF0FC"/>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302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302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0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May 3, 2025</w:t>
            </w:r>
          </w:p>
        </w:tc>
        <w:tc>
          <w:tcPr>
            <w:tcW w:w="302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30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-1268095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-1250950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Unit Awards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13 weeks ended May 2, 2026, the Company issued 1,525 nonvested stock units to employees at a weighted average grant date fair value of $1.38 per share. The shares vest over a three-year period with one third of the shares vesting on each anniversary of the grant date.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13 weeks ended May 3, 2025, the Company issued 835 nonvested stock units to employees at a weighted average grant date fair value of $1.02 per share. The shares vest over a three-year period with one third of the shares vesting on each anniversary of the grant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stock units (per share amounts are not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vMerge w:val="restart"/>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02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31, 2026</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1,735</w:t>
            </w:r>
          </w:p>
        </w:tc>
        <w:tc>
          <w:tcPr>
            <w:tcW w:w="62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3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1,525</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34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(589)</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May 2, 2026</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2,669</w:t>
            </w:r>
          </w:p>
        </w:tc>
        <w:tc>
          <w:tcPr>
            <w:tcW w:w="62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320"/>
        </w:trPr>
        <w:tc>
          <w:tcPr>
            <w:tcW w:w="4700" w:type="dxa"/>
            <w:vAlign w:val="bottom"/>
            <w:tcBorders>
              <w:top w:val="single" w:sz="8" w:color="CFF0FC"/>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302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302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May 3, 2025</w:t>
            </w:r>
          </w:p>
        </w:tc>
        <w:tc>
          <w:tcPr>
            <w:tcW w:w="302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844"/>
        </w:trPr>
        <w:tc>
          <w:tcPr>
            <w:tcW w:w="4700" w:type="dxa"/>
            <w:vAlign w:val="bottom"/>
            <w:tcBorders>
              <w:top w:val="single" w:sz="8" w:color="CFF0FC"/>
            </w:tcBorders>
          </w:tcPr>
          <w:p>
            <w:pPr>
              <w:spacing w:after="0"/>
              <w:rPr>
                <w:sz w:val="24"/>
                <w:szCs w:val="24"/>
                <w:color w:val="auto"/>
              </w:rPr>
            </w:pPr>
          </w:p>
        </w:tc>
        <w:tc>
          <w:tcPr>
            <w:tcW w:w="3020" w:type="dxa"/>
            <w:vAlign w:val="bottom"/>
            <w:tcBorders>
              <w:top w:val="single" w:sz="8" w:color="CFF0FC"/>
            </w:tcBorders>
          </w:tcPr>
          <w:p>
            <w:pPr>
              <w:jc w:val="right"/>
              <w:ind w:right="1913"/>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-2313940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-2296795</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8280" w:firstLine="8"/>
        <w:spacing w:after="0" w:line="412" w:lineRule="auto"/>
        <w:tabs>
          <w:tab w:leader="none" w:pos="34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spacing w:after="0" w:line="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18, 2024, and January 13, 2025, respectively, Kjersten Higley filed putative class action lawsuits against the Company in the Superior Court of the State of Washington in King County. The complaints asserted claims on behalf of purported classes of individuals alleging, among other things, that the Company failed to properly compensate class members for all time worked and business expenses and that certain individuals were required to enter into non-disclosure agreements that allegedly restricted discussion of compensation. The matters were subsequently consolidated, and the parties have reached an agreement in principle to resolve the consolidated action, which is subject to final approval by the Court. The Company denies the allegations and any liability or wrongdoing.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our Fiscal 2025 Form 10-K. Also see “Special Note Regarding Forward-Looking Statements” preceding Part I. of this 10-Q. Additionally, our historical results are not necessarily indicative of the results that may be expected or achieved for any future period.</w:t>
      </w:r>
    </w:p>
    <w:p>
      <w:pPr>
        <w:spacing w:after="0" w:line="180"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reference to, the unaudited condensed consolidated financial statements and the notes thereto included in this 10-Q.</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business was founded in 1986 as a single retail store in Midvale, Utah. Today, we operate 147 stores in 32 states, totaling approximately 5.5 million gross square feet. We also operate an e-commerce platform at www.sportsmans.com. We do not incorporate the information on or accessible through our website into this 10-Q, and you should not consider any information on, or that can be accessed through, our website as part of this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stores and our e-commerce platform are aggregated into one operating and reportable segment.</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results and operations have been, and will continue to be, impacted by events outside of our control.</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continues to face widespread macroeconomic uncertainties, including the impact of changes to international trade policies and increased tariff rates, inflation, elevated interest rates, elevated fuel prices, recession risks and rising global political tensions. We continue to monitor the potential impact of these broader consumer spending pressures on our business. While we cannot predict the ultimate impact of such uncertainties on our financial results for fiscal year 2026 and beyond, we believe these factors could affect our sales in fiscal year 2026. We remain measured in our outlook for the year.</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fiscal year ended January 31, 2026, certain retail store locations experienced four-wall Adjusted EBITDA losses and declines in projected cash flows. As a result, we performed an impairment assessment for these locations and we recognized impairment losses of $17.8 million as of January 31, 2026 related to ten underperforming store locations. We anticipate closing approximately five of our underperforming stores within the next year. Store closures or other strategic actions may be taken in the future, which could result in additional impairment charges. We do not plan to open new stores in fiscal year 2026 as we assess our new store expansion strategy and prioritize capital allocation for critical technology investments and debt repayment.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EBITDA, which we define as net loss plus interest expense, income tax expense (benefit), depreciation and amortization, stock-based compensation expense, management transition costs and executive retention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Same Store Sales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22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same store sales allows us to evaluate how our retail store base is performing. Various factors affect same store sales, including:</w:t>
      </w:r>
    </w:p>
    <w:p>
      <w:pPr>
        <w:spacing w:after="0" w:line="54" w:lineRule="exact"/>
        <w:rPr>
          <w:sz w:val="20"/>
          <w:szCs w:val="20"/>
          <w:color w:val="auto"/>
        </w:rPr>
      </w:pPr>
    </w:p>
    <w:p>
      <w:pPr>
        <w:ind w:left="1020" w:right="300" w:hanging="368"/>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political trends, social unrest, inflationary pressures, recessionary trends, labor shortages, monetary supply shifts, elevated interest rates, tightening of credit markets, and potential disruptions from the ongoing Russia-Ukraine conflict and rising global political tensions;</w:t>
      </w:r>
    </w:p>
    <w:p>
      <w:pPr>
        <w:spacing w:after="0" w:line="6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17" w:lineRule="exact"/>
        <w:rPr>
          <w:rFonts w:ascii="Times New Roman" w:cs="Times New Roman" w:eastAsia="Times New Roman" w:hAnsi="Times New Roman"/>
          <w:sz w:val="18"/>
          <w:szCs w:val="18"/>
          <w:color w:val="auto"/>
        </w:rPr>
      </w:pPr>
    </w:p>
    <w:p>
      <w:pPr>
        <w:ind w:left="1020" w:right="140" w:hanging="368"/>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and average ticket sales.</w:t>
      </w:r>
    </w:p>
    <w:p>
      <w:pPr>
        <w:spacing w:after="0" w:line="225"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We operate in a complex and constantly shifting regulatory and legal environment that could negatively impact the demand for our products and significantly affect our operations and financial results. State, local, and federal laws and regulations relating to products that we sell may change, sometimes significantly, as a result of political, economic or social events.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instance, in November 2022, Oregon passed a ballot measure that amended Oregon law to prohibit private citizens from manufacturing, importing, possessing, using, purchasing, selling or transferring a magazine capable of holding (or being readily converted to hold) over ten rounds of ammunition. Additionally, this ballot measure also imposed complex permitting and training requirements for the purchase and sale of firearms. On December 6, 2022, a state Circuit Court judge in Oregon preliminarily enjoined the implementation of the ballot measure. On November 21, 2023, the Circuit Court judge permanently enjoined implementation of the ballot measure upon a determination that the ballot measure was facially unconstitutional under Oregon's state constitution.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12, 2025, the Oregon Court of Appeals reversed the state Circuit Court judge’s permanent injunction, holding that the ballot measure was in fact facially constitutional under Oregon's state constitution. The Oregon Court of Appeals ordered the Circuit Court judge to enter a declaratory judgment consistent with the Court of Appeals’ decision. The plaintiffs filed a petition for review before the Oregon Supreme Court on April 14, 2025, preventing the Circuit Court judge from entering the declaratory judgment pending a decision of the Oregon Supreme Court on whether to grant the petition for review. The Oregon Supreme Court granted the petition for review on June 12, 2025 and heard oral arguments in the case on November 6, 2025. We anticipate a decision in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case will be rendered by the Oregon Supreme Court in late 2026. The permanent injunction entered by the Circuit Court Judge will continue to remain in effect pending the decision of the Oregon Supreme Court in this case.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the Oregon Supreme Court is working on its decision in the case considering the constitutionality of the ballot measure, Oregon Governor Tina Kotek signed a bill into law on April 7, 2026 which, upon signature, delayed the implementation of the ballot measure until January 1, 2028.</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measure is also being challenged in a related case in federal court and is on appeal before the Ninth Circuit Court of Appeals. However, this case has been stayed for several years and we anticipate that it will likely be remanded to the lower court due to the recent ruling of a similar capacity restriction case in California (Duncan vs. Bonta).</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operate eight stores in the State of Oregon. If the Oregon Supreme Court upholds the Oregon Court of Appeals March 12, 2025 order and the ballot measure is allowed to take effect on January 1, 2028, sales of firearms in Oregon may be halted or substantially diminished unless all permitting and training programs are fully developed by the state and/or law enforcement agencies at the time the ballot measure takes effect. If delays in establishing such permitting and training programs occur, it could result in a substantial decline in our sales of firearms and related products and reduce traffic to our stores in Oregon, which would significantly impact on our sales and gross margin.</w:t>
      </w:r>
    </w:p>
    <w:p>
      <w:pPr>
        <w:spacing w:after="0" w:line="18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are reviewing our store portfolio and estimate that approximately five underperforming stores may be closed. We do not plan to open new stores in fiscal year 2026 as we assess our new store expansion strategy and prioritize capital allocation for critical technology investments and debt repayment. However, opening new stores continues to be an important part of our long-term growth strategy.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also have been scaling our e-commerce platform and increasing sales through our website,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drivers to increasing our total net sales include:</w:t>
      </w:r>
    </w:p>
    <w:p>
      <w:pPr>
        <w:spacing w:after="0" w:line="333"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improving same store sales in our existing markets;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visits to our stores and improving our conversion rate through focused marketing efforts and continually high standards of customer service;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omni-channel capabilities through refined product assortment, expanded content and expertise and better user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strong community connections and establishing ourselves as the local choice for hunting and fishing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total gross square footage by opening new stores;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loyalty and credit card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1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believe the key drivers to improving our gross margin are increasing the product mix to higher margin products, particularly fishing, improving our seasonal inventory efficiency, strategic buying opportunities with our vendor partners and coordinating pricing strategies among our stores and our merchandise group. Successful inventory management ensures we have sufficient high margin products in stock to meet customer demand, while overstocking of items can lead to aggressive markdowns in order to help a product sell. We ended our fiscal first quarter of 2026 with $25.1 million less inventory than at the end of the fiscal first quarter of 2025, a 6.1% decrease.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believe this reflects our disciplined inventory management and positions us well to support growth in our key categories while continuing to improve productivity and inventory turns.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plus interest expense, income tax benefit, depreciation and amortization, stock-based compensation expense, transition and severance costs related to director and officer transitions, and expenses that we do not believe are indicative of our ongoing expenses. We define Adjusted EBITDA margin as Adjusted EBITDA divided by net sales. In evaluating our business, we use Adjusted EBITDA and Adjusted EBITDA margin as additional measurement tools for purposes of business decision-making, including evaluating store performance, developing budgets and managing expenditures. See “—Non-GAAP Financial Measures.”</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as a percentage of net sales during the periods presented:</w:t>
      </w:r>
    </w:p>
    <w:p>
      <w:pPr>
        <w:spacing w:after="0" w:line="21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760" w:type="dxa"/>
            <w:vAlign w:val="bottom"/>
          </w:tcPr>
          <w:p>
            <w:pPr>
              <w:spacing w:after="0"/>
              <w:rPr>
                <w:sz w:val="10"/>
                <w:szCs w:val="10"/>
                <w:color w:val="auto"/>
              </w:rPr>
            </w:pPr>
          </w:p>
        </w:tc>
        <w:tc>
          <w:tcPr>
            <w:tcW w:w="1700" w:type="dxa"/>
            <w:vAlign w:val="bottom"/>
            <w:tcBorders>
              <w:top w:val="single" w:sz="8" w:color="auto"/>
            </w:tcBorders>
          </w:tcPr>
          <w:p>
            <w:pPr>
              <w:jc w:val="center"/>
              <w:ind w:left="61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420" w:type="dxa"/>
            <w:vAlign w:val="bottom"/>
            <w:tcBorders>
              <w:top w:val="single" w:sz="8" w:color="auto"/>
            </w:tcBorders>
          </w:tcPr>
          <w:p>
            <w:pPr>
              <w:jc w:val="right"/>
              <w:ind w:right="913"/>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2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7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2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losses</w:t>
            </w:r>
          </w:p>
        </w:tc>
        <w:tc>
          <w:tcPr>
            <w:tcW w:w="1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FF0FC"/>
          </w:tcPr>
          <w:p>
            <w:pPr>
              <w:spacing w:after="0"/>
              <w:rPr>
                <w:sz w:val="18"/>
                <w:szCs w:val="18"/>
                <w:color w:val="auto"/>
              </w:rPr>
            </w:pPr>
          </w:p>
        </w:tc>
        <w:tc>
          <w:tcPr>
            <w:tcW w:w="2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FF0FC"/>
          </w:tcPr>
          <w:p>
            <w:pPr>
              <w:spacing w:after="0"/>
              <w:rPr>
                <w:sz w:val="19"/>
                <w:szCs w:val="19"/>
                <w:color w:val="auto"/>
              </w:rPr>
            </w:pPr>
          </w:p>
        </w:tc>
        <w:tc>
          <w:tcPr>
            <w:tcW w:w="2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700" w:type="dxa"/>
            <w:vAlign w:val="bottom"/>
          </w:tcPr>
          <w:p>
            <w:pPr>
              <w:spacing w:after="0"/>
              <w:rPr>
                <w:sz w:val="17"/>
                <w:szCs w:val="17"/>
                <w:color w:val="auto"/>
              </w:rPr>
            </w:pPr>
          </w:p>
        </w:tc>
        <w:tc>
          <w:tcPr>
            <w:tcW w:w="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7"/>
                <w:szCs w:val="17"/>
                <w:color w:val="auto"/>
              </w:rPr>
            </w:pPr>
          </w:p>
        </w:tc>
        <w:tc>
          <w:tcPr>
            <w:tcW w:w="2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24</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7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7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-2365375</wp:posOffset>
            </wp:positionV>
            <wp:extent cx="1460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-2365375</wp:posOffset>
            </wp:positionV>
            <wp:extent cx="1454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-2082165</wp:posOffset>
            </wp:positionV>
            <wp:extent cx="1460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-2082165</wp:posOffset>
            </wp:positionV>
            <wp:extent cx="1454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-1233805</wp:posOffset>
            </wp:positionV>
            <wp:extent cx="1460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-1216660</wp:posOffset>
            </wp:positionV>
            <wp:extent cx="1460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-1233805</wp:posOffset>
            </wp:positionV>
            <wp:extent cx="14541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-1216660</wp:posOffset>
            </wp:positionV>
            <wp:extent cx="1454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percentage of net sales by department during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40" w:type="dxa"/>
            <w:vAlign w:val="bottom"/>
          </w:tcPr>
          <w:p>
            <w:pPr>
              <w:spacing w:after="0"/>
              <w:rPr>
                <w:sz w:val="10"/>
                <w:szCs w:val="10"/>
                <w:color w:val="auto"/>
              </w:rPr>
            </w:pPr>
          </w:p>
        </w:tc>
        <w:tc>
          <w:tcPr>
            <w:tcW w:w="412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vMerge w:val="restart"/>
          </w:tcPr>
          <w:p>
            <w:pPr>
              <w:spacing w:after="0"/>
              <w:rPr>
                <w:sz w:val="10"/>
                <w:szCs w:val="10"/>
                <w:color w:val="auto"/>
              </w:rPr>
            </w:pPr>
          </w:p>
        </w:tc>
        <w:tc>
          <w:tcPr>
            <w:tcW w:w="920" w:type="dxa"/>
            <w:vAlign w:val="bottom"/>
          </w:tcPr>
          <w:p>
            <w:pPr>
              <w:jc w:val="center"/>
              <w:ind w:left="35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351"/>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280" w:type="dxa"/>
            <w:vAlign w:val="bottom"/>
            <w:gridSpan w:val="2"/>
          </w:tcPr>
          <w:p>
            <w:pPr>
              <w:spacing w:after="0"/>
              <w:rPr>
                <w:sz w:val="15"/>
                <w:szCs w:val="15"/>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4380" w:type="dxa"/>
            <w:vAlign w:val="bottom"/>
            <w:gridSpan w:val="3"/>
            <w:shd w:val="clear" w:color="auto" w:fill="CFF0FC"/>
          </w:tcPr>
          <w:p>
            <w:pPr>
              <w:ind w:left="140"/>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 coolers,</w:t>
            </w:r>
          </w:p>
        </w:tc>
        <w:tc>
          <w:tcPr>
            <w:tcW w:w="9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18"/>
                <w:szCs w:val="18"/>
                <w:color w:val="auto"/>
              </w:rPr>
            </w:pPr>
          </w:p>
        </w:tc>
        <w:tc>
          <w:tcPr>
            <w:tcW w:w="43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outdoor cooking equipment, sleeping bags, tents and</w:t>
            </w: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FF0FC"/>
          </w:tcPr>
          <w:p>
            <w:pPr>
              <w:spacing w:after="0"/>
              <w:rPr>
                <w:sz w:val="20"/>
                <w:szCs w:val="20"/>
                <w:color w:val="auto"/>
              </w:rPr>
            </w:pPr>
          </w:p>
        </w:tc>
        <w:tc>
          <w:tcPr>
            <w:tcW w:w="43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tools</w:t>
            </w:r>
          </w:p>
        </w:tc>
        <w:tc>
          <w:tcPr>
            <w:tcW w:w="9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43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4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9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3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4380" w:type="dxa"/>
            <w:vAlign w:val="bottom"/>
            <w:gridSpan w:val="3"/>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 items, fly</w:t>
            </w:r>
          </w:p>
        </w:tc>
        <w:tc>
          <w:tcPr>
            <w:tcW w:w="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FF0FC"/>
          </w:tcPr>
          <w:p>
            <w:pPr>
              <w:spacing w:after="0"/>
              <w:rPr>
                <w:sz w:val="20"/>
                <w:szCs w:val="20"/>
                <w:color w:val="auto"/>
              </w:rPr>
            </w:pPr>
          </w:p>
        </w:tc>
        <w:tc>
          <w:tcPr>
            <w:tcW w:w="43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fishing, lines, lures, reels, tackle and small boats</w:t>
            </w:r>
          </w:p>
        </w:tc>
        <w:tc>
          <w:tcPr>
            <w:tcW w:w="9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43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 technical footwear,</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4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trail shoes, casual shoes, waders and work boots</w:t>
            </w:r>
          </w:p>
        </w:tc>
        <w:tc>
          <w:tcPr>
            <w:tcW w:w="9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8"/>
        </w:trPr>
        <w:tc>
          <w:tcPr>
            <w:tcW w:w="3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Hunting and Shooting Sports</w:t>
            </w:r>
          </w:p>
        </w:tc>
        <w:tc>
          <w:tcPr>
            <w:tcW w:w="4380" w:type="dxa"/>
            <w:vAlign w:val="bottom"/>
            <w:gridSpan w:val="3"/>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w:t>
            </w:r>
          </w:p>
        </w:tc>
        <w:tc>
          <w:tcPr>
            <w:tcW w:w="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18"/>
                <w:szCs w:val="18"/>
                <w:color w:val="auto"/>
              </w:rPr>
            </w:pPr>
          </w:p>
        </w:tc>
        <w:tc>
          <w:tcPr>
            <w:tcW w:w="43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tree stands, decoys, firearms, reloading equipment</w:t>
            </w: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FF0FC"/>
          </w:tcPr>
          <w:p>
            <w:pPr>
              <w:spacing w:after="0"/>
              <w:rPr>
                <w:sz w:val="20"/>
                <w:szCs w:val="20"/>
                <w:color w:val="auto"/>
              </w:rPr>
            </w:pPr>
          </w:p>
        </w:tc>
        <w:tc>
          <w:tcPr>
            <w:tcW w:w="43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shooting gear</w:t>
            </w:r>
          </w:p>
        </w:tc>
        <w:tc>
          <w:tcPr>
            <w:tcW w:w="9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Optics, Electronics, Accessories, and Other</w:t>
            </w:r>
          </w:p>
        </w:tc>
        <w:tc>
          <w:tcPr>
            <w:tcW w:w="43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 two-</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4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way radios, and other license revenue, net of revenue</w:t>
            </w:r>
          </w:p>
        </w:tc>
        <w:tc>
          <w:tcPr>
            <w:tcW w:w="920" w:type="dxa"/>
            <w:vAlign w:val="bottom"/>
          </w:tcPr>
          <w:p>
            <w:pPr>
              <w:spacing w:after="0"/>
              <w:rPr>
                <w:sz w:val="18"/>
                <w:szCs w:val="18"/>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4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discounts</w:t>
            </w:r>
          </w:p>
        </w:tc>
        <w:tc>
          <w:tcPr>
            <w:tcW w:w="9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9"/>
                <w:szCs w:val="19"/>
                <w:color w:val="auto"/>
              </w:rPr>
            </w:pPr>
          </w:p>
        </w:tc>
        <w:tc>
          <w:tcPr>
            <w:tcW w:w="4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May 2, 2026 Compared to Thirteen Weeks Ended May 3, 2025</w:t>
      </w:r>
    </w:p>
    <w:p>
      <w:pPr>
        <w:spacing w:after="0" w:line="11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increased by $7.0 million, or 2.8%, to $256.1 million during the 13 weeks ended May 2, 2026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$249.1 million in the corresponding period of fiscal year 2025. Our net sales increased primarily due to sales growth in our Hunting and Shooting Sports and Fishing departments. Hunting and Shooting Sports increases were led by firearms, ammunition, and less-lethal personal protection, partially aided by external event-driven demand. Fishing increases were driven by seasonal demands as customers prepared for the spring fishing season. These increases were partially offset by decreases in net sales across other departments, reflecting continued pressure on the U.S. consumer and a strategic pull down of inventory to align our complementary categories with our core pursuits. E-commerce driven sales comprised approximately 23% of total sales for the 13 weeks ended May 2, 2026. Same store sales increased by 2.1% during the 13 weeks ended May 2, 2026 compared to the corresponding 13 weeks ended May 3, 2025, primarily as a result of the factors discussed above that impacted net sales.</w:t>
      </w:r>
    </w:p>
    <w:p>
      <w:pPr>
        <w:spacing w:after="0" w:line="2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Hunting and Shooting Sports and Fishing departments saw net sales increases of $11.7 million and $1.8 million, respectively, during the 13 weeks ended May 2, 2026 compared to the corresponding period of fiscal year 2025 primarily driven by increases in firearms, ammunition, and less-lethal personal protection, with some additional event-driven demand. Our Camping, Footwear, Apparel and Optics, Electronics, Accessories and Other departments saw net sales decreases of $2.9 million, $1.6 million, $1.3 million and $0.8 million, respectively, during the 13 weeks ended May 2, 2026 compared to the corresponding period of fiscal year 2025. These decreases reflect continued pressure on the U.S. consumer and a strategic pull down of inventory to align our complementary categories with our core pursuits. Within our Hunting and Shooting Sports department, sales from our ammunition and firearm categories increased by $5.4 million and $3.9 million, or 12.8% and 5.4%, respectively, for the first quarter of fiscal year 2026 compared to the corresponding fiscal period of 2025. The increase in these categories was primarily due to our change to every day low pricing in key product groups within the ammunition category, our bulk unit ammunition strategy, and improved in-stocks on core products.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respect to same store sales, during the 13 weeks ended May 2, 2026, our Hunting and Shooting Sports and Fishing departments saw increases of 6.3% and 5.7%, respectively, compared to the corresponding period of fiscal year 2025. Our Camping, Footwear, Apparel and Optics, Electronics, Accessories and Other departments saw same store sales decreases of 14.0%, 12.3%, 9.3% and 1.8%, respectively, during the 13 weeks ended May 2, 2026 compared to the corresponding period of fiscal year 2025. These changes were primarily driven by the items noted above for net sales. As of May 2, 2026, 146 stores were included in our same store sales calculation.</w:t>
      </w:r>
    </w:p>
    <w:p>
      <w:pPr>
        <w:spacing w:after="0" w:line="20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by $0.2 million, or 0.2%, to $75.8 million during the 13 weeks ended May 2, 2026 compared to $75.6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of fiscal year 2025. As a percentage of net sales, gross profit decreased to 29.6% during the 13 weeks ended May 2, 2026, compared to 30.4% for the corresponding period of fiscal year 2025 primarily driven by category mix and lower sales in higher margin categories.</w:t>
      </w:r>
    </w:p>
    <w:p>
      <w:pPr>
        <w:spacing w:after="0" w:line="19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$1.4 million, or 1.4%, to $93.9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13 weeks ended May 2, 2026, compared to $95.3 million for the corresponding period of fiscal year 2025. This decrease was primarily the result of a decrease in payroll expense of $1.4 million as we emphasize disciplined cost control and decreased depreciation expense of $1.2 million during the 13 weeks ended May 2, 2026. As a percentage of net sales, selling, general, and administrative expenses decreased to 36.7% of net sales in the first quarter of fiscal year 2026, compared to 38.2% of net sales in the first quarter of fiscal year 2025, as a result of the factors noted above.</w:t>
      </w:r>
    </w:p>
    <w:p>
      <w:pPr>
        <w:spacing w:after="0" w:line="20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by $0.3 million, or 11.7 %, to $2.6 million during the 13 weeks ended May 2, 2026, compared to $3.0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corresponding period of fiscal year 2025. The decrease in interest expense was primarily driven by reduced debt during the first quarter of fiscal year 2026 compared to the corresponding period of fiscal year 2025.</w:t>
      </w:r>
    </w:p>
    <w:p>
      <w:pPr>
        <w:spacing w:after="0" w:line="19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recognized income tax expense of $1.0 million during the 13 weeks ended May 2, 2026 compared to an income tax benefit of $1.3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corresponding period of fiscal year 2025. Our effective tax rates during the 13 weeks ended May 2, 2026 and May 3, 2025 were -5.0% and 5.9%, respectively. Our effective tax rate will generally differ from the U.S. Federal statutory rate of 21.0%, due to state taxes, permanent items, and discrete items relating to stock award deductions.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Net sales are typically higher in our third and fourth fiscal quarters than in our first and second fiscal quarters because of the openings of hunting seasons across the country and consumer holiday buying patterns. We also incur additional expenses in our third and fourth fiscal quarters due to higher sales volume and increased staffing in our stores. We anticipate our net sales will continue to reflect this seasonal pattern. On average, over the last three fiscal years, we have generated approximately 27.0% and 28.3% of our net sales in the third and fourth fiscal quarters, respectively, which includes the holiday selling season as well as the opening of the Fall hunting season. We anticipate our net sales will continue to reflect this seasonal pattern. However, Spring hunting, Father’s Day and the availability of hunting and fishing throughout the year in many of our markets counterbalance this seasonality to a certain degree.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Weather conditions affect outdoor activities and the demand for related apparel and equipment. Customers’ demand for our products, and, therefore, our net sales, can be significantly impacted by weather patterns on a local, regional and national basis.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Uses and Sources of Cash</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May 2, 2026, we had cash and cash equivalents of $2.1 million and working capital, consisting of current assets less current liabilities, of $61.9 million. We also had $114.6 million available for borrowing under our senior secured revolving credit facility as of May 2, 2026, calculated based upon borrowing base restrictions under our revolving credit facility.</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reviewing our store portfolio and estimate that approximately five underperforming stores may be closed. We do not plan to open new stores in fiscal year 2026 as we assess our new store expansion strategy and prioritize capital allocation for critical technology investments and debt repayment. With no new stores planned for fiscal year 2026, we intend to prioritize the repayment of outstanding debt with any excess cash flow. If we close underperforming stores, such closures could result in additional expenses. For example, while we have the right to terminate some of our leases under specified conditions by making specified payments, we may not be able to terminate a particular lease if or when we would like to do so. In other cases, if we decide to close a store, we may be required to continue paying rent and operating expenses for the balance of the lease term. The performance of any of these obligations may be costly.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are primarily for general operating expenses and other expenses discussed below.</w:t>
      </w:r>
    </w:p>
    <w:p>
      <w:pPr>
        <w:spacing w:after="0" w:line="160"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business, we enter into arrangements with vendors to purchase merchandise in advance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We or the vendor can generally terminate the purchase orders at any time. These purchase orders do not contain any termination payments or other penalties if cancelled.</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 Obligations. </w:t>
      </w:r>
      <w:r>
        <w:rPr>
          <w:rFonts w:ascii="Times New Roman" w:cs="Times New Roman" w:eastAsia="Times New Roman" w:hAnsi="Times New Roman"/>
          <w:sz w:val="18"/>
          <w:szCs w:val="18"/>
          <w:color w:val="auto"/>
        </w:rPr>
        <w:t>Lease commitments consist principally of leases for our retail stores, corporate office and distribution center. Our leases often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which allow us to extend the terms beyond the initial lease term. As of May 2, 2026, our expected operating and finance lease payments for the remainder of fiscal year fiscal year 2026 are $57.6 million and $0.3 million, respectively. Our total committed operating and finance lease payments are $416.1 million. Other operating lease obligations consist of distribution center equipment. See Note 6, “Leases” to our unaudited condensed consolidated financial statements included in this 10-Q.</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During the 13 weeks ended May 2, 2026, we incurred approximately $4.2 million in capital expenditures, net of tenant allowances,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strategic technological investments and general store maintenance. We expect capital expenditures net of tenant allowances to be between $20 million and $25 million for fiscal year 2026 (inclusive of amounts spent during the 13 weeks ended May 2, 2026) primarily related to strategic technological investments, such as store scheduling tools and loyalty program technology, and general store fleet maintenance. We intend to fund these capital expenditures with our operating cash flows, existing cash and cash equivalents and funds available under our revolving credit facility. Other investment opportunities, such as potential strategic acquisitions or store expansion rates in excess of those presently planned, may require additional funding.</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Principal and Interest Payments. </w:t>
      </w:r>
      <w:r>
        <w:rPr>
          <w:rFonts w:ascii="Times New Roman" w:cs="Times New Roman" w:eastAsia="Times New Roman" w:hAnsi="Times New Roman"/>
          <w:sz w:val="18"/>
          <w:szCs w:val="18"/>
          <w:color w:val="auto"/>
        </w:rPr>
        <w:t>We maintain a $350.0 million revolving credit facility and a $45.0 million term loan facility. As of May 2, 2026, $118.9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was outstanding under the revolving credit facility and $45.0 million was outstanding under the term loan facility. Assuming no additional repayments or borrowings on our revolving credit facility after May 2, 2026, our interest payments would be approximately $8.3 million for the remainder of fiscal year 2026, based on the interest rate as of May 2, 2026. As of May 2, 2026, our weighted average interest rate on the amounts outstanding under our revolving credit facility and term loan facility was 6.74%. See below under “Indebtedness” for additional information regarding our revolving credit facility and term loan facility, including the interest rates applicable to any borrowing under such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provided by (used in) operating, investing and financing activities are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2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0" w:type="dxa"/>
            <w:vAlign w:val="bottom"/>
          </w:tcPr>
          <w:p>
            <w:pPr>
              <w:jc w:val="center"/>
              <w:ind w:left="49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jc w:val="right"/>
              <w:ind w:right="497"/>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100" w:type="dxa"/>
            <w:vAlign w:val="bottom"/>
          </w:tcPr>
          <w:p>
            <w:pPr>
              <w:spacing w:after="0"/>
              <w:rPr>
                <w:sz w:val="10"/>
                <w:szCs w:val="10"/>
                <w:color w:val="auto"/>
              </w:rPr>
            </w:pPr>
          </w:p>
        </w:tc>
      </w:tr>
      <w:tr>
        <w:trPr>
          <w:trHeight w:val="173"/>
        </w:trPr>
        <w:tc>
          <w:tcPr>
            <w:tcW w:w="5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480" w:type="dxa"/>
            <w:vAlign w:val="bottom"/>
            <w:gridSpan w:val="2"/>
            <w:shd w:val="clear" w:color="auto" w:fill="CFF0FC"/>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w w:val="97"/>
              </w:rPr>
              <w:t>(55,370)</w:t>
            </w: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(60,234)</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(4,235)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(3,804)</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64,766</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2,054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w:t>
            </w:r>
          </w:p>
        </w:tc>
      </w:tr>
    </w:tbl>
    <w:p>
      <w:pPr>
        <w:spacing w:after="0" w:line="2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$55.4 million for the 13 weeks ended May 2, 2026, compared to net cash used in operating activities of $60.2 million for the corresponding period of fiscal year 2025, a decrease of approximately $4.8 million. The decrease in our cash flows used in operating activities was primarily driven by the timing of inventory purchases and the resulting payments related to accounts payable during the 13 weeks ended May 2, 2026 compared to the corresponding period of fiscal year 2025.</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$4.2 million for the 13 weeks ended May 2, 2026, compared to net cash used in investing activities of $3.8 million for the corresponding period of fiscal year 2025, an increase of approximately $0.4 million, which was primarily driven by increased capital expenditures related to the timing of technical investments and fleet maintenance during the 13 weeks ended May 2, 2026 compared to the corresponding period of fiscal year 2025.</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$60.0 million for the 13 weeks ended May 2, 2026, compared to net cash provided by financing activities of $64.8 million for the corresponding period of fiscal year 2025, a decrease of approximately $4.8 million. The decrease in cash provided by financing activities was primarily the result of lower borrowings on our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a $350.0 million revolving credit facility, with $118.9 million outstanding as of May 2, 2026. Our revolving credit facility is governed by an amended and restated credit agreement with a consortium of banks led by Wells Fargo Bank, National Association (“Wells Fargo”). Our term loan facility is governed by an ABL term loan credit agreement with PLC Agent, LLC, as administrative and collateral agent for various lenders affiliated with Pathlight Capital. Available borrowings under our revolving credit facility are subject to a borrowing base calculation. As of May 2, 2026, we had an aggregate amount of $114.6 million available for borrowing under our revolving credit facility, calculated based upon certain borrowing base restrictions, and $3.0 million in stand-by commercial letters of credit. We have no remaining amounts available for borrowing under our term loan facility.</w:t>
      </w:r>
    </w:p>
    <w:p>
      <w:pPr>
        <w:spacing w:after="0" w:line="18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based on either the base rate or Term SOFR (as defined by the credit agreement governing the revolving credit facility), at our option, in each case plus an applicable margin. The base rate is the greatest of (1) the floor rate (as defined in the credit agreement as a rate of interest equal to 0.0%) (2) Wells Fargo’s prime rate, (3) the federal funds rate (as defined in the applicable credit agreement) plus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0.50% or (4) the one-month Term SOFR (as defined in the applicable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Borrowings under the term loan facility bear interest at a rate equal to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credit facility and the term loan facility, and all obligations under the revolving credit facility and the term loan facility are guaranteed by Holdings. All of the obligations under the revolving credit facility and the term loan facility are secured by a lien on substantially all of Holdings’ assets and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 The lien securing the obligations under the term loan facility is a first priority lien as to equipment, fixtures, intellectual property and equity interests.</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may be required to make mandatory prepayments under the revolving credit facility and the term loan facility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revolving credit facility and term loan facility each require us to maintain a minimum availability at all times of not less than the greater of $30.0 million and 10% of the gross borrowing base. In addition, the credit agreements governing each of our revolving credit facility and our term loan facility contain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credit facility and term loan facility also contain customary events of default, including defaults triggered by defaults under the other facility. As of May 2, 2026, we were in compliance with all covenants under the credit agreements governing each of our revolving credit facility and our term loan facility.</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as described in “Part II., Item 7., Management’s Discussion and Analysis of Financial Condition and Results of Operations” of our Fiscal 2025 Form 10-K.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evaluating our business, we use Adjusted EBITDA and Adjusted EBITDA margin as supplemental measures of our operating performance. We define Adjusted EBITDA as net loss plus interest expense, income tax expense (benefit), depreciation and amortization, stock-based compensation expense, management transition costs and executive retention costs. Net income (loss) is the most comparable GAAP financial measure to Adjusted EBITDA. We define Adjusted EBITDA margin as,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compare our results of operations from period to period on a consistent basis by excluding items that management does not believe are indicative of our core operating performance.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w:t>
      </w:r>
    </w:p>
    <w:p>
      <w:pPr>
        <w:spacing w:after="0" w:line="7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may be defined differently by other companies, and, therefore, it may not be directly comparable to the results of other companies in our industry;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 or the cash requirements for any tax payments.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income (loss) to Adjusted EBITDA and a calculation of Adjusted EBITDA margin is set forth below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4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80" w:type="dxa"/>
            <w:vAlign w:val="bottom"/>
          </w:tcPr>
          <w:p>
            <w:pPr>
              <w:jc w:val="right"/>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jc w:val="right"/>
              <w:ind w:right="953"/>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220" w:type="dxa"/>
            <w:vAlign w:val="bottom"/>
          </w:tcPr>
          <w:p>
            <w:pPr>
              <w:spacing w:after="0"/>
              <w:rPr>
                <w:sz w:val="10"/>
                <w:szCs w:val="10"/>
                <w:color w:val="auto"/>
              </w:rPr>
            </w:pPr>
          </w:p>
        </w:tc>
      </w:tr>
      <w:tr>
        <w:trPr>
          <w:trHeight w:val="173"/>
        </w:trPr>
        <w:tc>
          <w:tcPr>
            <w:tcW w:w="4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r>
      <w:tr>
        <w:trPr>
          <w:trHeight w:val="142"/>
        </w:trPr>
        <w:tc>
          <w:tcPr>
            <w:tcW w:w="4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240" w:type="dxa"/>
            <w:vAlign w:val="bottom"/>
            <w:gridSpan w:val="3"/>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20" w:type="dxa"/>
            <w:vAlign w:val="bottom"/>
            <w:gridSpan w:val="2"/>
            <w:shd w:val="clear" w:color="auto" w:fill="CFF0FC"/>
          </w:tcPr>
          <w:p>
            <w:pPr>
              <w:jc w:val="right"/>
              <w:ind w:right="150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(21,848)</w:t>
            </w:r>
          </w:p>
        </w:tc>
        <w:tc>
          <w:tcPr>
            <w:tcW w:w="88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(21,254)</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2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22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(1)</w:t>
            </w:r>
          </w:p>
        </w:tc>
        <w:tc>
          <w:tcPr>
            <w:tcW w:w="13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Management transition costs (2)</w:t>
            </w:r>
          </w:p>
        </w:tc>
        <w:tc>
          <w:tcPr>
            <w:tcW w:w="1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retention (3)</w:t>
            </w:r>
          </w:p>
        </w:tc>
        <w:tc>
          <w:tcPr>
            <w:tcW w:w="13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ind w:right="150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2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4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020" w:type="dxa"/>
            <w:vAlign w:val="bottom"/>
            <w:gridSpan w:val="2"/>
            <w:shd w:val="clear" w:color="auto" w:fill="CFF0FC"/>
          </w:tcPr>
          <w:p>
            <w:pPr>
              <w:jc w:val="right"/>
              <w:ind w:right="150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256,078</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249,103</w:t>
            </w:r>
          </w:p>
        </w:tc>
        <w:tc>
          <w:tcPr>
            <w:tcW w:w="22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 margin</w:t>
            </w:r>
          </w:p>
        </w:tc>
        <w:tc>
          <w:tcPr>
            <w:tcW w:w="1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margin (4)</w:t>
            </w:r>
          </w:p>
        </w:tc>
        <w:tc>
          <w:tcPr>
            <w:tcW w:w="13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37426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expenses related to equity instruments granted to employees under our equity incentive plan and employee stock purchase plan.</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relating to the departure and recruitment of key members of our management team.</w:t>
      </w:r>
    </w:p>
    <w:p>
      <w:pPr>
        <w:spacing w:after="0" w:line="9" w:lineRule="exact"/>
        <w:rPr>
          <w:rFonts w:ascii="Times New Roman" w:cs="Times New Roman" w:eastAsia="Times New Roman" w:hAnsi="Times New Roman"/>
          <w:sz w:val="18"/>
          <w:szCs w:val="18"/>
          <w:color w:val="auto"/>
        </w:rPr>
      </w:pPr>
    </w:p>
    <w:p>
      <w:pPr>
        <w:ind w:left="520" w:right="48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executive retention bonus implemented to maintain leadership continuity and organizational stability throughout the turnaround process.</w:t>
      </w:r>
    </w:p>
    <w:p>
      <w:pPr>
        <w:ind w:left="520" w:right="220" w:hanging="512"/>
        <w:spacing w:after="0" w:line="26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net income margin as net income divided by net sales and we define Adjusted EBITDA margin as Adjusted EBITDA divided by net sales.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Item 305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10-Q. Based on that evaluation, our Chief Executive Officer and Chief Financial Officer have concluded that our disclosure controls and procedures were effective as of May 2,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in Effectiveness of Controls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15d-15(d) under the Exchange Act) during the 13 weeks ended May 2, 2026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See Note 13, “Commitments and Contingencies” to our condensed consolidated financial statements for additional information, which is incorporated herein by reference.</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pending lawsuit described in Note 13 of our unaudited interim consolidated financial statements is subject to inherent uncertainties, and the actual defense and disposition costs will depend upon unknown factors. The outcomes of the pending lawsuit are necessarily uncertain. We also could be forced to expend significant resources in the defense of the pending lawsuit, including substantial legal fees and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and you should carefully consider them. There have been no material changes in our risk factors from those set forth in our Fiscal 2025 Form 10-K.</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There are no disclosures required by this Item 5, including those relating to “Rule 10b5-1 trading arrangements” and “non-Rule 10b5-1 trading arrangements,” as those terms are defined in Item 408 of Regulation S-K.</w:t>
      </w:r>
    </w:p>
    <w:p>
      <w:pPr>
        <w:spacing w:after="0" w:line="3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769" w:right="1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p>
      <w:pPr>
        <w:ind w:left="24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p>
      <w:pPr>
        <w:spacing w:after="0" w:line="3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3.2</w:t>
      </w:r>
    </w:p>
    <w:p>
      <w:pPr>
        <w:spacing w:after="0" w:line="3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10.1*+</w:t>
      </w:r>
    </w:p>
    <w:p>
      <w:pPr>
        <w:spacing w:after="0" w:line="3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10.2*</w:t>
      </w:r>
    </w:p>
    <w:p>
      <w:pPr>
        <w:spacing w:after="0" w:line="3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31.1*</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31.2*</w:t>
      </w:r>
    </w:p>
    <w:p>
      <w:pPr>
        <w:spacing w:after="0" w:line="3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101.INS*</w:t>
      </w:r>
    </w:p>
    <w:p>
      <w:pPr>
        <w:spacing w:after="0" w:line="33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101.SCH*</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Amended and Restated Certificate of Incorporation of Sportsman’s Warehouse Holdings, Inc. (incorporated by reference to Exhibit</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3.1 to the Company’s Current Report on Form 8-K, filed with the SEC on June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200"/>
        <w:spacing w:after="0" w:line="282" w:lineRule="auto"/>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Fourth Amended and Restated Bylaws of Sportsman’s Warehouse Holdings, Inc.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Current Report on Form 8-K, filed with the SEC on March 25,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Retention Bonus Agreement, dated May 25, 2026, between Sportsman’s Warehouse Holdings, Inc. and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480"/>
        <w:spacing w:after="0" w:line="282" w:lineRule="auto"/>
        <w:rPr>
          <w:rFonts w:ascii="Times New Roman" w:cs="Times New Roman" w:eastAsia="Times New Roman" w:hAnsi="Times New Roman"/>
          <w:sz w:val="18"/>
          <w:szCs w:val="18"/>
          <w:u w:val="single" w:color="auto"/>
          <w:color w:val="0000FF"/>
        </w:rPr>
      </w:pPr>
      <w:hyperlink r:id="rId248">
        <w:r>
          <w:rPr>
            <w:rFonts w:ascii="Times New Roman" w:cs="Times New Roman" w:eastAsia="Times New Roman" w:hAnsi="Times New Roman"/>
            <w:sz w:val="18"/>
            <w:szCs w:val="18"/>
            <w:u w:val="single" w:color="auto"/>
            <w:color w:val="0000FF"/>
          </w:rPr>
          <w:t>Second Amended and Restated 2019 Performance Incentive Plan of Sportsman’s Warehouse Holdings, Inc. (incorporated by</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reference to Exhibit 99.1 to the Company's Current Report on Form 8-K, filed with the SEC on May 28,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1350, as adopted by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154305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560"/>
            <w:col w:w="9480"/>
          </w:cols>
          <w:pgMar w:left="320" w:top="769" w:right="419" w:bottom="1440" w:gutter="0" w:footer="0" w:header="0"/>
          <w:type w:val="continuous"/>
        </w:sectPr>
      </w:pPr>
    </w:p>
    <w:p>
      <w:pPr>
        <w:spacing w:after="0" w:line="250"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Furnished herewith.</w:t>
      </w:r>
    </w:p>
    <w:p>
      <w:pPr>
        <w:ind w:left="340" w:hanging="332"/>
        <w:spacing w:after="0"/>
        <w:tabs>
          <w:tab w:leader="none" w:pos="3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contract or compensatory plan, contract or arrangement.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73" w:lineRule="exact"/>
        <w:rPr>
          <w:rFonts w:ascii="Times New Roman" w:cs="Times New Roman" w:eastAsia="Times New Roman" w:hAnsi="Times New Roman"/>
          <w:sz w:val="19"/>
          <w:szCs w:val="19"/>
          <w:color w:val="auto"/>
        </w:rPr>
      </w:pPr>
    </w:p>
    <w:p>
      <w:pPr>
        <w:ind w:left="55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9" w:lineRule="exact"/>
        <w:rPr>
          <w:sz w:val="20"/>
          <w:szCs w:val="20"/>
          <w:color w:val="auto"/>
        </w:rPr>
      </w:pPr>
    </w:p>
    <w:p>
      <w:pPr>
        <w:spacing w:after="0"/>
        <w:tabs>
          <w:tab w:leader="none" w:pos="5620" w:val="left"/>
          <w:tab w:leader="none" w:pos="816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Paul Stone</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Jennifer Fall Jung</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7" w:name="page38"/>
    <w:bookmarkEnd w:id="37"/>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251460</wp:posOffset>
            </wp:positionV>
            <wp:extent cx="6172200" cy="7289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289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May 25,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Paul Stone, Chief Executive Officer</w:t>
      </w:r>
    </w:p>
    <w:p>
      <w:pPr>
        <w:spacing w:after="0" w:line="2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color w:val="auto"/>
        </w:rPr>
        <w:t xml:space="preserve">Re: </w:t>
      </w:r>
      <w:r>
        <w:rPr>
          <w:rFonts w:ascii="Times New Roman" w:cs="Times New Roman" w:eastAsia="Times New Roman" w:hAnsi="Times New Roman"/>
          <w:sz w:val="20"/>
          <w:szCs w:val="20"/>
          <w:b w:val="1"/>
          <w:bCs w:val="1"/>
          <w:i w:val="1"/>
          <w:iCs w:val="1"/>
          <w:u w:val="single" w:color="auto"/>
          <w:color w:val="auto"/>
        </w:rPr>
        <w:t>Retention Award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Paul,</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Sportsman’s Warehouse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appreciates your continued service. As an incentive to recognize your efforts with the Company, the Company is pleased to offer you a one-time retention bonus opportunity of $2.2 million (the “</w:t>
      </w:r>
      <w:r>
        <w:rPr>
          <w:rFonts w:ascii="Times New Roman" w:cs="Times New Roman" w:eastAsia="Times New Roman" w:hAnsi="Times New Roman"/>
          <w:sz w:val="20"/>
          <w:szCs w:val="20"/>
          <w:b w:val="1"/>
          <w:bCs w:val="1"/>
          <w:color w:val="auto"/>
        </w:rPr>
        <w:t>Retention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on the terms and conditions in this letter agreement.</w:t>
      </w:r>
    </w:p>
    <w:p>
      <w:pPr>
        <w:spacing w:after="0" w:line="17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Subject to the vesting acceleration provisions below, the Retention Award will vest according to the following terms and conditions:</w:t>
      </w:r>
    </w:p>
    <w:p>
      <w:pPr>
        <w:spacing w:after="0" w:line="155" w:lineRule="exact"/>
        <w:rPr>
          <w:sz w:val="20"/>
          <w:szCs w:val="20"/>
          <w:color w:val="auto"/>
        </w:rPr>
      </w:pPr>
    </w:p>
    <w:p>
      <w:pPr>
        <w:ind w:left="1140" w:hanging="383"/>
        <w:spacing w:after="0" w:line="273"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million of the Retention Award (the “</w:t>
      </w:r>
      <w:r>
        <w:rPr>
          <w:rFonts w:ascii="Times New Roman" w:cs="Times New Roman" w:eastAsia="Times New Roman" w:hAnsi="Times New Roman"/>
          <w:sz w:val="20"/>
          <w:szCs w:val="20"/>
          <w:b w:val="1"/>
          <w:bCs w:val="1"/>
          <w:color w:val="auto"/>
        </w:rPr>
        <w:t>Service Retention Award</w:t>
      </w:r>
      <w:r>
        <w:rPr>
          <w:rFonts w:ascii="Times New Roman" w:cs="Times New Roman" w:eastAsia="Times New Roman" w:hAnsi="Times New Roman"/>
          <w:sz w:val="20"/>
          <w:szCs w:val="20"/>
          <w:color w:val="auto"/>
        </w:rPr>
        <w:t>”) will vest on the Certification Date, subject to your continued employment with the Company through such date.</w:t>
      </w:r>
    </w:p>
    <w:p>
      <w:pPr>
        <w:spacing w:after="0" w:line="151" w:lineRule="exact"/>
        <w:rPr>
          <w:rFonts w:ascii="Times New Roman" w:cs="Times New Roman" w:eastAsia="Times New Roman" w:hAnsi="Times New Roman"/>
          <w:sz w:val="20"/>
          <w:szCs w:val="20"/>
          <w:color w:val="auto"/>
        </w:rPr>
      </w:pPr>
    </w:p>
    <w:p>
      <w:pPr>
        <w:jc w:val="both"/>
        <w:ind w:left="1140" w:hanging="383"/>
        <w:spacing w:after="0" w:line="256"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million of the Retention Award (the “</w:t>
      </w:r>
      <w:r>
        <w:rPr>
          <w:rFonts w:ascii="Times New Roman" w:cs="Times New Roman" w:eastAsia="Times New Roman" w:hAnsi="Times New Roman"/>
          <w:sz w:val="20"/>
          <w:szCs w:val="20"/>
          <w:b w:val="1"/>
          <w:bCs w:val="1"/>
          <w:color w:val="auto"/>
        </w:rPr>
        <w:t>Performance Retention Award</w:t>
      </w:r>
      <w:r>
        <w:rPr>
          <w:rFonts w:ascii="Times New Roman" w:cs="Times New Roman" w:eastAsia="Times New Roman" w:hAnsi="Times New Roman"/>
          <w:sz w:val="20"/>
          <w:szCs w:val="20"/>
          <w:color w:val="auto"/>
        </w:rPr>
        <w:t>”) will vest on the Certification Date, subject to (i) achievement of the performance condition for the Performance Retention Award (the “</w:t>
      </w:r>
      <w:r>
        <w:rPr>
          <w:rFonts w:ascii="Times New Roman" w:cs="Times New Roman" w:eastAsia="Times New Roman" w:hAnsi="Times New Roman"/>
          <w:sz w:val="20"/>
          <w:szCs w:val="20"/>
          <w:b w:val="1"/>
          <w:bCs w:val="1"/>
          <w:color w:val="auto"/>
        </w:rPr>
        <w:t>Performance Condition</w:t>
      </w:r>
      <w:r>
        <w:rPr>
          <w:rFonts w:ascii="Times New Roman" w:cs="Times New Roman" w:eastAsia="Times New Roman" w:hAnsi="Times New Roman"/>
          <w:sz w:val="20"/>
          <w:szCs w:val="20"/>
          <w:color w:val="auto"/>
        </w:rPr>
        <w:t>”), set forth in the “Performance Condition” section below, and (ii) your continued employment with the Company through such date.</w:t>
      </w:r>
    </w:p>
    <w:p>
      <w:pPr>
        <w:spacing w:after="0" w:line="17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Any portion of the Retention Award that vests will be paid (less applicable withholdings) in a lump sum cash payment within 30 days after vesting.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Performance Condition</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Performance Condition will be achieved if the total amount of Adjusted EBITDA during FY 2026 and FY 2027 is at least 90% of the Adjusted EBITDA Target. If the total amount of Adjusted EBITDA during FY 2026 and FY 2027 is less than 90% of the Adjusted EBITDA Target, no portion of the Performance Retention Award will vest.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For the avoidance of doubt, no additional amount will vest for achievement in excess of 90% of the Adjusted EBITDA Target, such that in no event will more than 100% of the Performance Retention Award vest.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 no event later than 90 days following the last day of FY 2027, the Committee will certify the amount of Adjusted EBITDA and whether the Performance Condition has been achieved (the actual date that the Committee performs such certification, the “</w:t>
      </w:r>
      <w:r>
        <w:rPr>
          <w:rFonts w:ascii="Times New Roman" w:cs="Times New Roman" w:eastAsia="Times New Roman" w:hAnsi="Times New Roman"/>
          <w:sz w:val="20"/>
          <w:szCs w:val="20"/>
          <w:b w:val="1"/>
          <w:bCs w:val="1"/>
          <w:color w:val="auto"/>
        </w:rPr>
        <w:t>Certification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Change in Control</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If (i) a Change in Control occurs before the Certification Date and (ii) you remain employed with the Company through the date of such Change in Control, 100% of the Retention Award will vest immediately prior to the Change in Control.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Involuntary Termination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If (i) an Involuntary Termination occurs before the Certification Date, (ii) you execute and do not revoke a Release (as defined in the Employment Agreement), and (iii) the Release is enforceable and effective as provided in the Release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115570</wp:posOffset>
            </wp:positionV>
            <wp:extent cx="6172200" cy="8312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6172200" cy="8312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252095</wp:posOffset>
            </wp:positionV>
            <wp:extent cx="6172200" cy="7289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289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or before the date that is the 60th day following the effective date of the Involuntary Termination, the Retention Award will vest as follows:</w:t>
      </w:r>
    </w:p>
    <w:p>
      <w:pPr>
        <w:spacing w:after="0" w:line="216" w:lineRule="exact"/>
        <w:rPr>
          <w:sz w:val="20"/>
          <w:szCs w:val="20"/>
          <w:color w:val="auto"/>
        </w:rPr>
      </w:pPr>
    </w:p>
    <w:p>
      <w:pPr>
        <w:ind w:left="1140" w:hanging="383"/>
        <w:spacing w:after="0" w:line="269" w:lineRule="auto"/>
        <w:tabs>
          <w:tab w:leader="none" w:pos="11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Involuntary Termination occurs on or before the last day of FY 2027, the Prorated Percentage of 100% of the Retention Award will vest on the 60th day following the effective date of the Involuntary Termination; or</w:t>
      </w:r>
    </w:p>
    <w:p>
      <w:pPr>
        <w:spacing w:after="0" w:line="159" w:lineRule="exact"/>
        <w:rPr>
          <w:rFonts w:ascii="Times New Roman" w:cs="Times New Roman" w:eastAsia="Times New Roman" w:hAnsi="Times New Roman"/>
          <w:sz w:val="20"/>
          <w:szCs w:val="20"/>
          <w:color w:val="auto"/>
        </w:rPr>
      </w:pPr>
    </w:p>
    <w:p>
      <w:pPr>
        <w:jc w:val="both"/>
        <w:ind w:left="1140" w:hanging="383"/>
        <w:spacing w:after="0" w:line="249" w:lineRule="auto"/>
        <w:tabs>
          <w:tab w:leader="none" w:pos="11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Involuntary Termination occurs after the last day of FY 2027 and before the Certification Date, the Prorated Percentage of the sum of (i) the portion of the Performance Retention Award that became eligible to vest based on actual achievement of the Performance Condition plus (ii) 100% of the Service Retention Award will vest on the later of (A) the 60th day following the effective date of the Involuntary Termination and (B) the Certification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409A</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Notwithstanding anything to the contrary in this letter agreement, no portion of the Retention Award that becomes payable as a result of an Involuntary Termination (an “</w:t>
      </w:r>
      <w:r>
        <w:rPr>
          <w:rFonts w:ascii="Times New Roman" w:cs="Times New Roman" w:eastAsia="Times New Roman" w:hAnsi="Times New Roman"/>
          <w:sz w:val="20"/>
          <w:szCs w:val="20"/>
          <w:b w:val="1"/>
          <w:bCs w:val="1"/>
          <w:color w:val="auto"/>
        </w:rPr>
        <w:t>Involuntary Termination Payment</w:t>
      </w:r>
      <w:r>
        <w:rPr>
          <w:rFonts w:ascii="Times New Roman" w:cs="Times New Roman" w:eastAsia="Times New Roman" w:hAnsi="Times New Roman"/>
          <w:sz w:val="20"/>
          <w:szCs w:val="20"/>
          <w:color w:val="auto"/>
        </w:rPr>
        <w:t>”) will be paid until you have a “separation from service” within the meaning of Section 409A. If the period during which you may consider and sign the Release spans two calendar years, the payment of any Involuntary Termination Payment will not be made or begin until the later calendar year. Further, if any Involuntary Termination Payment is subject to Section 409A and you are a “specified employee” within the meaning of Section 409A at the time of your separation from service (other than due to death), then such Involuntary Termination Payment otherwise due to you on or within the six-month period following your separation from service will accrue during such six-month period and will become payable in a lump sum payment (less applicable withholding taxes) on the date six months and one day following the date of your separation from service if necessary to avoid adverse taxation under Section 409A. Notwithstanding anything herein to the contrary, if your death occurs following your separation from service but prior to the six-month anniversary of your separation from service, then any payment delayed in accordance with this paragraph will be payable in a lump sum (less applicable withholding taxes) to your estate as soon as administratively practicable after the date of your death.</w:t>
      </w:r>
    </w:p>
    <w:p>
      <w:pPr>
        <w:spacing w:after="0" w:line="18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Each payment and benefit payable under this letter agreement is intended to constitute a separate payment for purposes of Section 409A. It is intended that the Retention Award comply with or be exempt from the requirements of Section 409A so that no portion of the Retention Award will be subject to the additional tax imposed under Section 409A, and any ambiguities herein will be interpreted according to such intent. Notwithstanding the foregoing, the Company makes no representations that the Retention Award complies with Section 409A, and in no event shall the Company or any of its representatives be liable for all or any portion of any taxes, penalties, interest, or other expenses that may be incurred by you on account of non-compliance with Section 409A.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For purposes of the Retention Award, the following terms have the following meanings:</w:t>
      </w:r>
    </w:p>
    <w:p>
      <w:pPr>
        <w:spacing w:after="0" w:line="212" w:lineRule="exact"/>
        <w:rPr>
          <w:sz w:val="20"/>
          <w:szCs w:val="20"/>
          <w:color w:val="auto"/>
        </w:rPr>
      </w:pPr>
    </w:p>
    <w:p>
      <w:pPr>
        <w:jc w:val="both"/>
        <w:ind w:left="1140" w:hanging="383"/>
        <w:spacing w:after="0" w:line="246" w:lineRule="auto"/>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w:t>
      </w:r>
      <w:r>
        <w:rPr>
          <w:rFonts w:ascii="Times New Roman" w:cs="Times New Roman" w:eastAsia="Times New Roman" w:hAnsi="Times New Roman"/>
          <w:sz w:val="20"/>
          <w:szCs w:val="20"/>
          <w:color w:val="auto"/>
        </w:rPr>
        <w:t>” means net (loss) income of the Company as determined in accordance with U.S. generally accepted accounting principles (“GAAP”) and reflected on the Company’s consolidated statement of income plus interest expense (benefit), income tax expense (benefit), depreciation and amortization, stock-based compensation expense, transition and severance costs related to director and officer transitions, other gains, losses and expenses that are not indicative of ongoing expenses, and any other adjustments to net (loss) income disclosed by the Company in its filings with the Securities and Exchange Commission to determine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1180465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130175</wp:posOffset>
            </wp:positionV>
            <wp:extent cx="6172200" cy="8312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6172200" cy="8312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252095</wp:posOffset>
            </wp:positionV>
            <wp:extent cx="6172200" cy="7289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28980"/>
                    </a:xfrm>
                    <a:prstGeom prst="rect">
                      <a:avLst/>
                    </a:prstGeom>
                    <a:noFill/>
                  </pic:spPr>
                </pic:pic>
              </a:graphicData>
            </a:graphic>
          </wp:anchor>
        </w:drawing>
      </w:r>
    </w:p>
    <w:p>
      <w:pPr>
        <w:jc w:val="both"/>
        <w:ind w:left="1140" w:hanging="383"/>
        <w:spacing w:after="0" w:line="247" w:lineRule="auto"/>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 Target</w:t>
      </w:r>
      <w:r>
        <w:rPr>
          <w:rFonts w:ascii="Times New Roman" w:cs="Times New Roman" w:eastAsia="Times New Roman" w:hAnsi="Times New Roman"/>
          <w:sz w:val="20"/>
          <w:szCs w:val="20"/>
          <w:color w:val="auto"/>
        </w:rPr>
        <w:t>” means (i) $34,800,000 (which is the amount of FY 2026 Adjusted EBITDA that results in payout at 100% of the target amount of the Adjusted EBITDA component under the Company’s FY 2026 cash short-term incentive program), plus (ii) an amount to be determined by the Board or the Committee (which is intended to be the amount of FY 2027 Adjusted EBITDA that results in payout at 100% of the target amount of the Adjusted EBITDA component under the Company’s FY 2027 cash short-term incentive program).</w:t>
      </w:r>
    </w:p>
    <w:p>
      <w:pPr>
        <w:spacing w:after="0" w:line="180"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ind w:left="1140" w:right="20" w:hanging="383"/>
        <w:spacing w:after="0" w:line="273" w:lineRule="auto"/>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means a Corporate Transaction (as defined in the Company’s 2019 Performance Incentive Plan) that qualifies as a “change in control event” within the meaning of Section 409A.</w:t>
      </w:r>
    </w:p>
    <w:p>
      <w:pPr>
        <w:spacing w:after="0" w:line="1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means the Compensation Committee of the Board.</w:t>
      </w:r>
    </w:p>
    <w:p>
      <w:pPr>
        <w:spacing w:after="0" w:line="215" w:lineRule="exact"/>
        <w:rPr>
          <w:rFonts w:ascii="Times New Roman" w:cs="Times New Roman" w:eastAsia="Times New Roman" w:hAnsi="Times New Roman"/>
          <w:sz w:val="20"/>
          <w:szCs w:val="20"/>
          <w:color w:val="auto"/>
        </w:rPr>
      </w:pPr>
    </w:p>
    <w:p>
      <w:pPr>
        <w:ind w:left="1140" w:hanging="383"/>
        <w:spacing w:after="0" w:line="273" w:lineRule="auto"/>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means the Executive Employment Agreement by and between you and the Company dated September 22, 2023.</w:t>
      </w:r>
    </w:p>
    <w:p>
      <w:pPr>
        <w:spacing w:after="0" w:line="1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FY 2026</w:t>
      </w:r>
      <w:r>
        <w:rPr>
          <w:rFonts w:ascii="Times New Roman" w:cs="Times New Roman" w:eastAsia="Times New Roman" w:hAnsi="Times New Roman"/>
          <w:sz w:val="20"/>
          <w:szCs w:val="20"/>
          <w:color w:val="auto"/>
        </w:rPr>
        <w:t>” means the Company’s fiscal year ending January 30, 2027.</w:t>
      </w:r>
    </w:p>
    <w:p>
      <w:pPr>
        <w:spacing w:after="0" w:line="215"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FY 2027</w:t>
      </w:r>
      <w:r>
        <w:rPr>
          <w:rFonts w:ascii="Times New Roman" w:cs="Times New Roman" w:eastAsia="Times New Roman" w:hAnsi="Times New Roman"/>
          <w:sz w:val="20"/>
          <w:szCs w:val="20"/>
          <w:color w:val="auto"/>
        </w:rPr>
        <w:t>” means the Company’s fiscal year ending January 29, 2028.</w:t>
      </w:r>
    </w:p>
    <w:p>
      <w:pPr>
        <w:spacing w:after="0" w:line="215" w:lineRule="exact"/>
        <w:rPr>
          <w:rFonts w:ascii="Times New Roman" w:cs="Times New Roman" w:eastAsia="Times New Roman" w:hAnsi="Times New Roman"/>
          <w:sz w:val="20"/>
          <w:szCs w:val="20"/>
          <w:color w:val="auto"/>
        </w:rPr>
      </w:pPr>
    </w:p>
    <w:p>
      <w:pPr>
        <w:jc w:val="both"/>
        <w:ind w:left="1140" w:hanging="383"/>
        <w:spacing w:after="0" w:line="256" w:lineRule="auto"/>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Involuntary Termination</w:t>
      </w:r>
      <w:r>
        <w:rPr>
          <w:rFonts w:ascii="Times New Roman" w:cs="Times New Roman" w:eastAsia="Times New Roman" w:hAnsi="Times New Roman"/>
          <w:sz w:val="20"/>
          <w:szCs w:val="20"/>
          <w:color w:val="auto"/>
        </w:rPr>
        <w:t>” means your employment with the Company is terminated either (i) by the Company for any reason other than Gross Misconduct (as defined in the Employment Agreement), death, or Incapacity (as defined in the Employment Agreement), or (ii) by you for Good Reason (as defined in the Employment Agreement).</w:t>
      </w:r>
    </w:p>
    <w:p>
      <w:pPr>
        <w:spacing w:after="0" w:line="168" w:lineRule="exact"/>
        <w:rPr>
          <w:rFonts w:ascii="Times New Roman" w:cs="Times New Roman" w:eastAsia="Times New Roman" w:hAnsi="Times New Roman"/>
          <w:sz w:val="20"/>
          <w:szCs w:val="20"/>
          <w:color w:val="auto"/>
        </w:rPr>
      </w:pPr>
    </w:p>
    <w:p>
      <w:pPr>
        <w:ind w:left="1140" w:hanging="383"/>
        <w:spacing w:after="0" w:line="273" w:lineRule="auto"/>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Prorated Percentage</w:t>
      </w:r>
      <w:r>
        <w:rPr>
          <w:rFonts w:ascii="Times New Roman" w:cs="Times New Roman" w:eastAsia="Times New Roman" w:hAnsi="Times New Roman"/>
          <w:sz w:val="20"/>
          <w:szCs w:val="20"/>
          <w:color w:val="auto"/>
        </w:rPr>
        <w:t>” means (i) the number of days that you are employed with the Company during the Retention Period divided by (ii) the total number of days in the Retention Period.</w:t>
      </w:r>
    </w:p>
    <w:p>
      <w:pPr>
        <w:spacing w:after="0" w:line="1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Retention Period</w:t>
      </w:r>
      <w:r>
        <w:rPr>
          <w:rFonts w:ascii="Times New Roman" w:cs="Times New Roman" w:eastAsia="Times New Roman" w:hAnsi="Times New Roman"/>
          <w:sz w:val="20"/>
          <w:szCs w:val="20"/>
          <w:color w:val="auto"/>
        </w:rPr>
        <w:t>” means the period beginning on the first day of FY 2026 and ending on the Certification Date.</w:t>
      </w:r>
    </w:p>
    <w:p>
      <w:pPr>
        <w:spacing w:after="0" w:line="215" w:lineRule="exact"/>
        <w:rPr>
          <w:rFonts w:ascii="Times New Roman" w:cs="Times New Roman" w:eastAsia="Times New Roman" w:hAnsi="Times New Roman"/>
          <w:sz w:val="20"/>
          <w:szCs w:val="20"/>
          <w:color w:val="auto"/>
        </w:rPr>
      </w:pPr>
    </w:p>
    <w:p>
      <w:pPr>
        <w:ind w:left="1140" w:hanging="383"/>
        <w:spacing w:after="0" w:line="273" w:lineRule="auto"/>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means Section 409A of the Internal Revenue Code of 1986, as amended, and any proposed or final Treasury Regulations and Internal Revenue Service guidance that has been promulgated or may be promulgated thereunder.</w:t>
      </w:r>
    </w:p>
    <w:p>
      <w:pPr>
        <w:spacing w:after="0" w:line="15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Nothing in this letter agreement constitutes an employment or service commitment by the Company or any of its subsidiaries or affiliates or affects your status as an employee “at will” who is subject to termination for any reason (or for no reason, with or without cause) at any time. This letter agreement contains all of the terms and conditions of the Retention Award opportunity and supersedes all prior understandings and agreements, written or oral, between you and the Company and any of its subsidiaries or affiliates with respect to such matters. This letter agreement may be amended only by a written agreement signed by an authorized officer of the Company (other than you) that expressly refers to this letter agreement. The validity, interpretation, construction and performance of this letter agreement shall be governed by the laws of the state in which you primarily work for the Company without regard to any conflict of laws principles that would require the application of the laws of a different jurisdiction. You expressly consent to the personal jurisdiction and venue of the state and federal courts located in the state in which you primarily work for the Company and the state in which the Company’s headquarters is located for any lawsuit filed there against you by the Company arising from or related to this letter agreement (although you understand the Company will not file a lawsuit in the state in which the Company’s headquarters is located if prohibited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1177290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127000</wp:posOffset>
            </wp:positionV>
            <wp:extent cx="6172200" cy="8312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6172200" cy="8312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252095</wp:posOffset>
            </wp:positionV>
            <wp:extent cx="6172200" cy="7289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28980"/>
                    </a:xfrm>
                    <a:prstGeom prst="rect">
                      <a:avLst/>
                    </a:prstGeom>
                    <a:noFill/>
                  </pic:spPr>
                </pic:pic>
              </a:graphicData>
            </a:graphic>
          </wp:anchor>
        </w:drawing>
      </w: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Retention Award will be an unsecured, unfunded obligation of the Company, and so any rights you have under this letter agreement shall be those of a general unsecured creditor of the Company.</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If you agree to the terms of this letter agreement, please sign this letter agreement in the space provided below and return an executed copy of this letter agreement to Krischelle Tennessen so that it is received no later than the close of business on June 1, 2026.</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This letter agreement may be executed in any number of counterparts, each of which shall be deemed an original and all of which together shall constitute one and the same instrument. This letter agreement may be signed using electronic signature technology (e.g., via DocuSign or similar electronic signature technology), and any such signed electronic record shall be valid and as effective to bind the party so signing as a paper copy bearing such party’s hand-written signature. To the extent that a party signs this letter agreement using electronic signature technology, by clicking “sign”, such party is signing this letter agreement electronically, and the electronic signatures appearing on this letter agreement shall be treated, for purposes of validity, enforceability and admissibility, the same as hand-written signatures. In addition, photographic copies of any signed counterparts may be used in lieu of the originals for any purpose.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We appreciate your dedication to the Company.</w:t>
      </w:r>
    </w:p>
    <w:p>
      <w:pPr>
        <w:spacing w:after="0" w:line="200" w:lineRule="exact"/>
        <w:rPr>
          <w:sz w:val="20"/>
          <w:szCs w:val="20"/>
          <w:color w:val="auto"/>
        </w:rPr>
      </w:pPr>
    </w:p>
    <w:p>
      <w:pPr>
        <w:spacing w:after="0" w:line="2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SPORTSMAN’S WAREHOUSE HOLDINGS,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/s/ Michael Tucci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2620010</wp:posOffset>
            </wp:positionH>
            <wp:positionV relativeFrom="paragraph">
              <wp:posOffset>-10795</wp:posOffset>
            </wp:positionV>
            <wp:extent cx="20104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2010410" cy="8255"/>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Michael Tucci</w:t>
      </w:r>
    </w:p>
    <w:p>
      <w:pPr>
        <w:ind w:left="4120"/>
        <w:spacing w:after="0"/>
        <w:rPr>
          <w:sz w:val="20"/>
          <w:szCs w:val="20"/>
          <w:color w:val="auto"/>
        </w:rPr>
      </w:pPr>
      <w:r>
        <w:rPr>
          <w:rFonts w:ascii="Times New Roman" w:cs="Times New Roman" w:eastAsia="Times New Roman" w:hAnsi="Times New Roman"/>
          <w:sz w:val="20"/>
          <w:szCs w:val="20"/>
          <w:color w:val="auto"/>
        </w:rPr>
        <w:t>Title: Director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5074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Paul Stone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1201420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151130</wp:posOffset>
            </wp:positionV>
            <wp:extent cx="6172200" cy="8312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6172200" cy="831215"/>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-10795</wp:posOffset>
            </wp:positionV>
            <wp:extent cx="16440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164401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Stone, certify that:</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39"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061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Paul Stone</w:t>
      </w:r>
    </w:p>
    <w:p>
      <w:pPr>
        <w:jc w:val="center"/>
        <w:ind w:right="5240"/>
        <w:spacing w:after="0" w:line="221"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2" w:name="page43"/>
    <w:bookmarkEnd w:id="4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Fall Jung, certify that:</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480" w:hanging="503"/>
        <w:spacing w:after="0" w:line="312" w:lineRule="auto"/>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00" w:hanging="514"/>
        <w:spacing w:after="0" w:line="266"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514"/>
        <w:spacing w:after="0" w:line="266"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40" w:hanging="514"/>
        <w:spacing w:after="0" w:line="266"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00" w:hanging="514"/>
        <w:spacing w:after="0" w:line="282"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480" w:hanging="514"/>
        <w:spacing w:after="0" w:line="282"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39"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Jennifer Fall Jung</w:t>
      </w:r>
    </w:p>
    <w:p>
      <w:pPr>
        <w:jc w:val="center"/>
        <w:ind w:right="5260"/>
        <w:spacing w:after="0" w:line="221" w:lineRule="auto"/>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3" w:name="page44"/>
    <w:bookmarkEnd w:id="43"/>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AS ADOPTED</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Sportsman’s Warehouse Holdings, Inc. (the “Registrant”) for the fiscal quarter ended May 2, 2026, as filed with the Securities and Exchange Commission on the date hereof (the “Report”), Paul Stone, President and Chief Executive Officer of the Registrant, and Jennifer Fall Jung, Chief Financial Officer and Secretary of the Registrant, hereby certify, pursuant to 18 U.S.C. Section 1350, as adopted pursuant to Section 906 of the Sarbanes-Oxley Act of 2002, that, to the best of their knowledge:</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39"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4"/>
          <w:szCs w:val="14"/>
          <w:b w:val="1"/>
          <w:bCs w:val="1"/>
          <w:color w:val="auto"/>
        </w:rPr>
        <w:t>Paul Stone</w:t>
      </w:r>
    </w:p>
    <w:p>
      <w:pPr>
        <w:jc w:val="center"/>
        <w:ind w:right="5280"/>
        <w:spacing w:after="0" w:line="221"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jc w:val="center"/>
        <w:ind w:right="52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39"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8"/>
          <w:szCs w:val="18"/>
          <w:color w:val="auto"/>
        </w:rPr>
        <w:t>/s/ 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4"/>
          <w:szCs w:val="14"/>
          <w:b w:val="1"/>
          <w:bCs w:val="1"/>
          <w:color w:val="auto"/>
        </w:rPr>
        <w:t>Jennifer Fall Jung</w:t>
      </w:r>
    </w:p>
    <w:p>
      <w:pPr>
        <w:jc w:val="center"/>
        <w:ind w:right="5280"/>
        <w:spacing w:after="0" w:line="221" w:lineRule="auto"/>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jc w:val="center"/>
        <w:ind w:right="528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1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foregoing certifications are being furnished pursuant to 18 U.S.C. Section 1350. They are not being filed for purposes of Section 18 of the Securities Exchange Act of 1934, as amended, and are not to be incorporated by reference into any filing of the Registrant,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lowerRoman"/>
      <w:start w:val="3"/>
    </w:lvl>
  </w:abstractNum>
  <w:abstractNum w:abstractNumId="7">
    <w:nsid w:val="41A7C4C9"/>
    <w:multiLevelType w:val="hybridMultilevel"/>
    <w:lvl w:ilvl="0">
      <w:lvlJc w:val="left"/>
      <w:lvlText w:val="(%1)"/>
      <w:numFmt w:val="decimal"/>
      <w:start w:val="11"/>
    </w:lvl>
  </w:abstractNum>
  <w:abstractNum w:abstractNumId="8">
    <w:nsid w:val="6B68079A"/>
    <w:multiLevelType w:val="hybridMultilevel"/>
    <w:lvl w:ilvl="0">
      <w:lvlJc w:val="left"/>
      <w:lvlText w:val="(%1)"/>
      <w:numFmt w:val="decimal"/>
      <w:start w:val="12"/>
    </w:lvl>
  </w:abstractNum>
  <w:abstractNum w:abstractNumId="9">
    <w:nsid w:val="4E6AFB66"/>
    <w:multiLevelType w:val="hybridMultilevel"/>
    <w:lvl w:ilvl="0">
      <w:lvlJc w:val="left"/>
      <w:lvlText w:val="(%1)"/>
      <w:numFmt w:val="decimal"/>
      <w:start w:val="13"/>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4"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jpeg"/><Relationship Id="rId263" Type="http://schemas.openxmlformats.org/officeDocument/2006/relationships/image" Target="media/image253.png"/><Relationship Id="rId264" Type="http://schemas.openxmlformats.org/officeDocument/2006/relationships/image" Target="media/image254.jpeg"/><Relationship Id="rId265" Type="http://schemas.openxmlformats.org/officeDocument/2006/relationships/image" Target="media/image255.jpeg"/><Relationship Id="rId266" Type="http://schemas.openxmlformats.org/officeDocument/2006/relationships/image" Target="media/image256.png"/><Relationship Id="rId267" Type="http://schemas.openxmlformats.org/officeDocument/2006/relationships/image" Target="media/image257.jpeg"/><Relationship Id="rId268" Type="http://schemas.openxmlformats.org/officeDocument/2006/relationships/image" Target="media/image258.jpeg"/><Relationship Id="rId269" Type="http://schemas.openxmlformats.org/officeDocument/2006/relationships/image" Target="media/image259.png"/><Relationship Id="rId270" Type="http://schemas.openxmlformats.org/officeDocument/2006/relationships/image" Target="media/image260.jpeg"/><Relationship Id="rId271" Type="http://schemas.openxmlformats.org/officeDocument/2006/relationships/image" Target="media/image261.jpe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jpe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43" Type="http://schemas.openxmlformats.org/officeDocument/2006/relationships/hyperlink" Target="https://www.sec.gov/Archives/edgar/data/1132105/000095017023026914/spwh-ex3_1.htm" TargetMode="External"/><Relationship Id="rId245" Type="http://schemas.openxmlformats.org/officeDocument/2006/relationships/hyperlink" Target="https://www.sec.gov/ix?doc=/Archives/edgar/data/1132105/000095017024041618/spwh-20240203.htm" TargetMode="External"/><Relationship Id="rId248" Type="http://schemas.openxmlformats.org/officeDocument/2006/relationships/hyperlink" Target="https://www.sec.gov/Archives/edgar/data/1132105/000119312526245199/spwh-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2026-06-02T15:23:10Z</dcterms:created>
  <dcterms:modified xsi:type="dcterms:W3CDTF">2026-06-02T15:23:10Z</dcterms:modified>
</cp:coreProperties>
</file>