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633730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26" w:lineRule="exact"/>
        <w:rPr>
          <w:sz w:val="24"/>
          <w:szCs w:val="24"/>
          <w:color w:val="auto"/>
        </w:rPr>
      </w:pPr>
    </w:p>
    <w:p>
      <w:pPr>
        <w:ind w:left="4020" w:right="2680" w:hanging="4012"/>
        <w:spacing w:after="0" w:line="327" w:lineRule="auto"/>
        <w:tabs>
          <w:tab w:leader="none" w:pos="332"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August 3, 2024</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72" w:lineRule="exact"/>
        <w:rPr>
          <w:sz w:val="24"/>
          <w:szCs w:val="24"/>
          <w:color w:val="auto"/>
        </w:rPr>
      </w:pPr>
    </w:p>
    <w:p>
      <w:pPr>
        <w:ind w:left="3940" w:right="2680" w:hanging="3932"/>
        <w:spacing w:after="0" w:line="299" w:lineRule="auto"/>
        <w:tabs>
          <w:tab w:leader="none" w:pos="327"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from_______to_______</w:t>
      </w: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Commission File Number: 001-36401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8"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6"/>
          <w:szCs w:val="16"/>
          <w:b w:val="1"/>
          <w:bCs w:val="1"/>
          <w:color w:val="auto"/>
        </w:rPr>
        <w:t>SPORTSMAN’S WAREHOUSE HOLDINGS, INC.</w:t>
      </w:r>
    </w:p>
    <w:p>
      <w:pPr>
        <w:spacing w:after="0" w:line="28"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tbl>
      <w:tblPr>
        <w:tblLayout w:type="fixed"/>
        <w:tblInd w:w="1080" w:type="dxa"/>
        <w:tblCellMar>
          <w:top w:w="0" w:type="dxa"/>
          <w:left w:w="0" w:type="dxa"/>
          <w:bottom w:w="0" w:type="dxa"/>
          <w:right w:w="0" w:type="dxa"/>
        </w:tblCellMar>
      </w:tblPr>
      <w:tr>
        <w:trPr>
          <w:trHeight w:val="212"/>
        </w:trPr>
        <w:tc>
          <w:tcPr>
            <w:tcW w:w="5160" w:type="dxa"/>
            <w:vAlign w:val="bottom"/>
          </w:tcPr>
          <w:p>
            <w:pPr>
              <w:jc w:val="center"/>
              <w:ind w:right="159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9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39-1975614</w:t>
            </w:r>
          </w:p>
        </w:tc>
      </w:tr>
      <w:tr>
        <w:trPr>
          <w:trHeight w:val="219"/>
        </w:trPr>
        <w:tc>
          <w:tcPr>
            <w:tcW w:w="5160" w:type="dxa"/>
            <w:vAlign w:val="bottom"/>
          </w:tcPr>
          <w:p>
            <w:pPr>
              <w:jc w:val="center"/>
              <w:ind w:right="1599"/>
              <w:spacing w:after="0"/>
              <w:rPr>
                <w:sz w:val="20"/>
                <w:szCs w:val="20"/>
                <w:color w:val="auto"/>
              </w:rPr>
            </w:pPr>
            <w:r>
              <w:rPr>
                <w:rFonts w:ascii="Times New Roman" w:cs="Times New Roman" w:eastAsia="Times New Roman" w:hAnsi="Times New Roman"/>
                <w:sz w:val="16"/>
                <w:szCs w:val="16"/>
                <w:b w:val="1"/>
                <w:bCs w:val="1"/>
                <w:color w:val="auto"/>
              </w:rPr>
              <w:t>(State or other jurisdiction</w:t>
            </w:r>
          </w:p>
        </w:tc>
        <w:tc>
          <w:tcPr>
            <w:tcW w:w="2940" w:type="dxa"/>
            <w:vAlign w:val="bottom"/>
          </w:tcPr>
          <w:p>
            <w:pPr>
              <w:jc w:val="center"/>
              <w:ind w:left="159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5160" w:type="dxa"/>
            <w:vAlign w:val="bottom"/>
          </w:tcPr>
          <w:p>
            <w:pPr>
              <w:jc w:val="center"/>
              <w:ind w:right="1599"/>
              <w:spacing w:after="0"/>
              <w:rPr>
                <w:sz w:val="20"/>
                <w:szCs w:val="20"/>
                <w:color w:val="auto"/>
              </w:rPr>
            </w:pPr>
            <w:r>
              <w:rPr>
                <w:rFonts w:ascii="Times New Roman" w:cs="Times New Roman" w:eastAsia="Times New Roman" w:hAnsi="Times New Roman"/>
                <w:sz w:val="16"/>
                <w:szCs w:val="16"/>
                <w:b w:val="1"/>
                <w:bCs w:val="1"/>
                <w:color w:val="auto"/>
              </w:rPr>
              <w:t>of incorporation or organization)</w:t>
            </w:r>
          </w:p>
        </w:tc>
        <w:tc>
          <w:tcPr>
            <w:tcW w:w="2940" w:type="dxa"/>
            <w:vAlign w:val="bottom"/>
          </w:tcPr>
          <w:p>
            <w:pPr>
              <w:jc w:val="center"/>
              <w:ind w:left="1599"/>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324"/>
        </w:trPr>
        <w:tc>
          <w:tcPr>
            <w:tcW w:w="5160" w:type="dxa"/>
            <w:vAlign w:val="bottom"/>
          </w:tcPr>
          <w:p>
            <w:pPr>
              <w:jc w:val="center"/>
              <w:ind w:right="1599"/>
              <w:spacing w:after="0"/>
              <w:rPr>
                <w:sz w:val="20"/>
                <w:szCs w:val="20"/>
                <w:color w:val="auto"/>
              </w:rPr>
            </w:pPr>
            <w:r>
              <w:rPr>
                <w:rFonts w:ascii="Times New Roman" w:cs="Times New Roman" w:eastAsia="Times New Roman" w:hAnsi="Times New Roman"/>
                <w:sz w:val="16"/>
                <w:szCs w:val="16"/>
                <w:b w:val="1"/>
                <w:bCs w:val="1"/>
                <w:color w:val="auto"/>
              </w:rPr>
              <w:t>1475 West 9000 South, Suite A, West Jordan, Utah</w:t>
            </w:r>
          </w:p>
        </w:tc>
        <w:tc>
          <w:tcPr>
            <w:tcW w:w="294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84088</w:t>
            </w:r>
          </w:p>
        </w:tc>
      </w:tr>
      <w:tr>
        <w:trPr>
          <w:trHeight w:val="229"/>
        </w:trPr>
        <w:tc>
          <w:tcPr>
            <w:tcW w:w="5160" w:type="dxa"/>
            <w:vAlign w:val="bottom"/>
          </w:tcPr>
          <w:p>
            <w:pPr>
              <w:jc w:val="center"/>
              <w:ind w:right="159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2940" w:type="dxa"/>
            <w:vAlign w:val="bottom"/>
          </w:tcPr>
          <w:p>
            <w:pPr>
              <w:jc w:val="center"/>
              <w:ind w:left="1599"/>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bl>
    <w:p>
      <w:pPr>
        <w:spacing w:after="0" w:line="20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(801) 566-6681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3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760" w:type="dxa"/>
            <w:vAlign w:val="bottom"/>
          </w:tcPr>
          <w:p>
            <w:pPr>
              <w:spacing w:after="0"/>
              <w:rPr>
                <w:sz w:val="18"/>
                <w:szCs w:val="18"/>
                <w:color w:val="auto"/>
              </w:rPr>
            </w:pPr>
          </w:p>
        </w:tc>
        <w:tc>
          <w:tcPr>
            <w:tcW w:w="3720" w:type="dxa"/>
            <w:vAlign w:val="bottom"/>
          </w:tcPr>
          <w:p>
            <w:pPr>
              <w:spacing w:after="0"/>
              <w:rPr>
                <w:sz w:val="18"/>
                <w:szCs w:val="18"/>
                <w:color w:val="auto"/>
              </w:rPr>
            </w:pPr>
          </w:p>
        </w:tc>
      </w:tr>
      <w:tr>
        <w:trPr>
          <w:trHeight w:val="131"/>
        </w:trPr>
        <w:tc>
          <w:tcPr>
            <w:tcW w:w="3760" w:type="dxa"/>
            <w:vAlign w:val="bottom"/>
            <w:tcBorders>
              <w:bottom w:val="single" w:sz="8" w:color="auto"/>
            </w:tcBorders>
          </w:tcPr>
          <w:p>
            <w:pPr>
              <w:spacing w:after="0"/>
              <w:rPr>
                <w:sz w:val="11"/>
                <w:szCs w:val="11"/>
                <w:color w:val="auto"/>
              </w:rPr>
            </w:pPr>
          </w:p>
        </w:tc>
        <w:tc>
          <w:tcPr>
            <w:tcW w:w="3760" w:type="dxa"/>
            <w:vAlign w:val="bottom"/>
            <w:tcBorders>
              <w:bottom w:val="single" w:sz="8" w:color="auto"/>
            </w:tcBorders>
          </w:tcPr>
          <w:p>
            <w:pPr>
              <w:spacing w:after="0"/>
              <w:rPr>
                <w:sz w:val="11"/>
                <w:szCs w:val="11"/>
                <w:color w:val="auto"/>
              </w:rPr>
            </w:pPr>
          </w:p>
        </w:tc>
        <w:tc>
          <w:tcPr>
            <w:tcW w:w="3720" w:type="dxa"/>
            <w:vAlign w:val="bottom"/>
            <w:tcBorders>
              <w:bottom w:val="single" w:sz="8" w:color="auto"/>
            </w:tcBorders>
          </w:tcPr>
          <w:p>
            <w:pPr>
              <w:spacing w:after="0"/>
              <w:rPr>
                <w:sz w:val="11"/>
                <w:szCs w:val="11"/>
                <w:color w:val="auto"/>
              </w:rPr>
            </w:pPr>
          </w:p>
        </w:tc>
      </w:tr>
      <w:tr>
        <w:trPr>
          <w:trHeight w:val="21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3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182"/>
        </w:trPr>
        <w:tc>
          <w:tcPr>
            <w:tcW w:w="3760" w:type="dxa"/>
            <w:vAlign w:val="bottom"/>
            <w:tcBorders>
              <w:left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rPr>
              <w:t>Common stock, par value $0.01 per share</w:t>
            </w:r>
          </w:p>
        </w:tc>
        <w:tc>
          <w:tcPr>
            <w:tcW w:w="376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w w:val="98"/>
              </w:rPr>
              <w:t>SPWH</w:t>
            </w:r>
          </w:p>
        </w:tc>
        <w:tc>
          <w:tcPr>
            <w:tcW w:w="372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rPr>
              <w:t>The Nasdaq Stock Market LLC</w:t>
            </w:r>
          </w:p>
        </w:tc>
      </w:tr>
      <w:tr>
        <w:trPr>
          <w:trHeight w:val="223"/>
        </w:trPr>
        <w:tc>
          <w:tcPr>
            <w:tcW w:w="3760" w:type="dxa"/>
            <w:vAlign w:val="bottom"/>
            <w:tcBorders>
              <w:left w:val="single" w:sz="8" w:color="auto"/>
              <w:bottom w:val="single" w:sz="8" w:color="auto"/>
              <w:right w:val="single" w:sz="8" w:color="auto"/>
            </w:tcBorders>
          </w:tcPr>
          <w:p>
            <w:pPr>
              <w:spacing w:after="0"/>
              <w:rPr>
                <w:sz w:val="19"/>
                <w:szCs w:val="19"/>
                <w:color w:val="auto"/>
              </w:rPr>
            </w:pPr>
          </w:p>
        </w:tc>
        <w:tc>
          <w:tcPr>
            <w:tcW w:w="3760" w:type="dxa"/>
            <w:vAlign w:val="bottom"/>
            <w:tcBorders>
              <w:bottom w:val="single" w:sz="8" w:color="auto"/>
              <w:right w:val="single" w:sz="8" w:color="auto"/>
            </w:tcBorders>
          </w:tcPr>
          <w:p>
            <w:pPr>
              <w:spacing w:after="0"/>
              <w:rPr>
                <w:sz w:val="19"/>
                <w:szCs w:val="19"/>
                <w:color w:val="auto"/>
              </w:rPr>
            </w:pPr>
          </w:p>
        </w:tc>
        <w:tc>
          <w:tcPr>
            <w:tcW w:w="3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188" w:lineRule="exact"/>
        <w:rPr>
          <w:sz w:val="24"/>
          <w:szCs w:val="24"/>
          <w:color w:val="auto"/>
        </w:rPr>
      </w:pPr>
    </w:p>
    <w:p>
      <w:pPr>
        <w:ind w:right="60" w:firstLine="50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70" w:lineRule="exact"/>
        <w:rPr>
          <w:sz w:val="24"/>
          <w:szCs w:val="24"/>
          <w:color w:val="auto"/>
        </w:rPr>
      </w:pPr>
    </w:p>
    <w:p>
      <w:pPr>
        <w:ind w:firstLine="509"/>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70" w:lineRule="exact"/>
        <w:rPr>
          <w:sz w:val="24"/>
          <w:szCs w:val="24"/>
          <w:color w:val="auto"/>
        </w:rPr>
      </w:pPr>
    </w:p>
    <w:p>
      <w:pPr>
        <w:jc w:val="both"/>
        <w:ind w:right="280" w:firstLine="509"/>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6"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34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780"/>
              <w:spacing w:after="0"/>
              <w:rPr>
                <w:sz w:val="20"/>
                <w:szCs w:val="20"/>
                <w:color w:val="auto"/>
              </w:rPr>
            </w:pPr>
            <w:r>
              <w:rPr>
                <w:rFonts w:ascii="Times New Roman" w:cs="Times New Roman" w:eastAsia="Times New Roman" w:hAnsi="Times New Roman"/>
                <w:sz w:val="16"/>
                <w:szCs w:val="16"/>
                <w:color w:val="auto"/>
              </w:rPr>
              <w:t>Accelerated filer</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34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7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34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168" w:lineRule="exact"/>
        <w:rPr>
          <w:sz w:val="24"/>
          <w:szCs w:val="24"/>
          <w:color w:val="auto"/>
        </w:rPr>
      </w:pPr>
    </w:p>
    <w:p>
      <w:pPr>
        <w:ind w:left="520" w:right="80"/>
        <w:spacing w:after="0" w:line="21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6" w:lineRule="exact"/>
        <w:rPr>
          <w:sz w:val="24"/>
          <w:szCs w:val="24"/>
          <w:color w:val="auto"/>
        </w:rPr>
      </w:pPr>
    </w:p>
    <w:p>
      <w:pPr>
        <w:ind w:left="520"/>
        <w:spacing w:after="0" w:line="184" w:lineRule="exact"/>
        <w:tabs>
          <w:tab w:leader="none" w:pos="8020" w:val="left"/>
          <w:tab w:leader="none" w:pos="86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920750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number of shares of the registrant's common stock, $0.01 par value per share, outstanding as of August 30, 2024 was 37,848,369.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1078230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8"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SPORTSMAN’S WAREHOUSE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6"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0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2"/>
        </w:trPr>
        <w:tc>
          <w:tcPr>
            <w:tcW w:w="10200" w:type="dxa"/>
            <w:vAlign w:val="bottom"/>
            <w:gridSpan w:val="21"/>
          </w:tcPr>
          <w:p>
            <w:pPr>
              <w:spacing w:after="0" w:line="182" w:lineRule="exact"/>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1020" w:type="dxa"/>
            <w:vAlign w:val="bottom"/>
          </w:tcPr>
          <w:p>
            <w:pPr>
              <w:spacing w:after="0"/>
              <w:rPr>
                <w:sz w:val="15"/>
                <w:szCs w:val="15"/>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7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7"/>
              </w:rPr>
              <w:t>Item 1.</w:t>
            </w:r>
          </w:p>
        </w:tc>
        <w:tc>
          <w:tcPr>
            <w:tcW w:w="420" w:type="dxa"/>
            <w:vAlign w:val="bottom"/>
            <w:gridSpan w:val="3"/>
          </w:tcPr>
          <w:p>
            <w:pPr>
              <w:spacing w:after="0"/>
              <w:rPr>
                <w:sz w:val="24"/>
                <w:szCs w:val="24"/>
                <w:color w:val="auto"/>
              </w:rPr>
            </w:pPr>
          </w:p>
        </w:tc>
        <w:tc>
          <w:tcPr>
            <w:tcW w:w="9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5"/>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5"/>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36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5"/>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00" w:type="dxa"/>
            <w:vAlign w:val="bottom"/>
            <w:tcBorders>
              <w:right w:val="single" w:sz="8" w:color="0000EE"/>
            </w:tcBorders>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5"/>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5"/>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5"/>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00" w:type="dxa"/>
            <w:vAlign w:val="bottom"/>
            <w:gridSpan w:val="2"/>
          </w:tcPr>
          <w:p>
            <w:pPr>
              <w:spacing w:after="0"/>
              <w:rPr>
                <w:sz w:val="24"/>
                <w:szCs w:val="24"/>
                <w:color w:val="auto"/>
              </w:rPr>
            </w:pPr>
          </w:p>
        </w:tc>
        <w:tc>
          <w:tcPr>
            <w:tcW w:w="9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5"/>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00" w:type="dxa"/>
            <w:vAlign w:val="bottom"/>
            <w:gridSpan w:val="2"/>
          </w:tcPr>
          <w:p>
            <w:pPr>
              <w:spacing w:after="0"/>
              <w:rPr>
                <w:sz w:val="24"/>
                <w:szCs w:val="24"/>
                <w:color w:val="auto"/>
              </w:rPr>
            </w:pPr>
          </w:p>
        </w:tc>
        <w:tc>
          <w:tcPr>
            <w:tcW w:w="9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940" w:type="dxa"/>
            <w:vAlign w:val="bottom"/>
            <w:tcBorders>
              <w:left w:val="single" w:sz="8" w:color="0000FF"/>
            </w:tcBorders>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5"/>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7"/>
              </w:rPr>
              <w:t>Item 4.</w:t>
            </w:r>
          </w:p>
        </w:tc>
        <w:tc>
          <w:tcPr>
            <w:tcW w:w="20" w:type="dxa"/>
            <w:vAlign w:val="bottom"/>
          </w:tcPr>
          <w:p>
            <w:pPr>
              <w:spacing w:after="0"/>
              <w:rPr>
                <w:sz w:val="24"/>
                <w:szCs w:val="24"/>
                <w:color w:val="auto"/>
              </w:rPr>
            </w:pPr>
          </w:p>
        </w:tc>
        <w:tc>
          <w:tcPr>
            <w:tcW w:w="400" w:type="dxa"/>
            <w:vAlign w:val="bottom"/>
            <w:gridSpan w:val="2"/>
          </w:tcPr>
          <w:p>
            <w:pPr>
              <w:spacing w:after="0"/>
              <w:rPr>
                <w:sz w:val="24"/>
                <w:szCs w:val="24"/>
                <w:color w:val="auto"/>
              </w:rPr>
            </w:pPr>
          </w:p>
        </w:tc>
        <w:tc>
          <w:tcPr>
            <w:tcW w:w="9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5"/>
        </w:trPr>
        <w:tc>
          <w:tcPr>
            <w:tcW w:w="1020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1020" w:type="dxa"/>
            <w:vAlign w:val="bottom"/>
          </w:tcPr>
          <w:p>
            <w:pPr>
              <w:spacing w:after="0"/>
              <w:rPr>
                <w:sz w:val="24"/>
                <w:szCs w:val="24"/>
                <w:color w:val="auto"/>
              </w:rPr>
            </w:pPr>
          </w:p>
        </w:tc>
      </w:tr>
      <w:tr>
        <w:trPr>
          <w:trHeight w:val="465"/>
        </w:trPr>
        <w:tc>
          <w:tcPr>
            <w:tcW w:w="5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400" w:type="dxa"/>
            <w:vAlign w:val="bottom"/>
            <w:tcBorders>
              <w:top w:val="single" w:sz="8" w:color="0000FF"/>
            </w:tcBorders>
            <w:gridSpan w:val="2"/>
          </w:tcPr>
          <w:p>
            <w:pPr>
              <w:spacing w:after="0"/>
              <w:rPr>
                <w:sz w:val="24"/>
                <w:szCs w:val="24"/>
                <w:color w:val="auto"/>
              </w:rPr>
            </w:pPr>
          </w:p>
        </w:tc>
        <w:tc>
          <w:tcPr>
            <w:tcW w:w="18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440" w:type="dxa"/>
            <w:vAlign w:val="bottom"/>
            <w:gridSpan w:val="11"/>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5"/>
        </w:trPr>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1A.</w:t>
            </w:r>
          </w:p>
        </w:tc>
        <w:tc>
          <w:tcPr>
            <w:tcW w:w="9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5"/>
        </w:trPr>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300" w:type="dxa"/>
            <w:vAlign w:val="bottom"/>
          </w:tcPr>
          <w:p>
            <w:pPr>
              <w:spacing w:after="0"/>
              <w:rPr>
                <w:sz w:val="24"/>
                <w:szCs w:val="24"/>
                <w:color w:val="auto"/>
              </w:rPr>
            </w:pPr>
          </w:p>
        </w:tc>
        <w:tc>
          <w:tcPr>
            <w:tcW w:w="9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940" w:type="dxa"/>
            <w:vAlign w:val="bottom"/>
            <w:tcBorders>
              <w:right w:val="single" w:sz="8" w:color="0000EE"/>
            </w:tcBorders>
            <w:gridSpan w:val="4"/>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5"/>
        </w:trPr>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3.</w:t>
            </w:r>
          </w:p>
        </w:tc>
        <w:tc>
          <w:tcPr>
            <w:tcW w:w="9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940" w:type="dxa"/>
            <w:vAlign w:val="bottom"/>
            <w:tcBorders>
              <w:right w:val="single" w:sz="8" w:color="0000EE"/>
            </w:tcBorders>
            <w:gridSpan w:val="4"/>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6960" w:type="dxa"/>
            <w:vAlign w:val="bottom"/>
            <w:gridSpan w:val="9"/>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5"/>
        </w:trPr>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4.</w:t>
            </w:r>
          </w:p>
        </w:tc>
        <w:tc>
          <w:tcPr>
            <w:tcW w:w="9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940" w:type="dxa"/>
            <w:vAlign w:val="bottom"/>
            <w:tcBorders>
              <w:right w:val="single" w:sz="8" w:color="0000EE"/>
            </w:tcBorders>
            <w:gridSpan w:val="4"/>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520" w:type="dxa"/>
            <w:vAlign w:val="bottom"/>
            <w:gridSpan w:val="1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5"/>
        </w:trPr>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5.</w:t>
            </w:r>
          </w:p>
        </w:tc>
        <w:tc>
          <w:tcPr>
            <w:tcW w:w="9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940" w:type="dxa"/>
            <w:vAlign w:val="bottom"/>
            <w:tcBorders>
              <w:right w:val="single" w:sz="8" w:color="0000EE"/>
            </w:tcBorders>
            <w:gridSpan w:val="4"/>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960" w:type="dxa"/>
            <w:vAlign w:val="bottom"/>
            <w:gridSpan w:val="1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5"/>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7"/>
              </w:rPr>
              <w:t>Item 6.</w:t>
            </w:r>
          </w:p>
        </w:tc>
        <w:tc>
          <w:tcPr>
            <w:tcW w:w="420" w:type="dxa"/>
            <w:vAlign w:val="bottom"/>
            <w:gridSpan w:val="3"/>
          </w:tcPr>
          <w:p>
            <w:pPr>
              <w:spacing w:after="0"/>
              <w:rPr>
                <w:sz w:val="24"/>
                <w:szCs w:val="24"/>
                <w:color w:val="auto"/>
              </w:rPr>
            </w:pPr>
          </w:p>
        </w:tc>
        <w:tc>
          <w:tcPr>
            <w:tcW w:w="9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Exhibits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500" w:type="dxa"/>
            <w:vAlign w:val="bottom"/>
            <w:gridSpan w:val="1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5"/>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We operate on a fiscal calendar that, in a given fiscal year, consists of the 52- or 53-week period ending on the Saturday closest to January 31st. Our second fiscal quarters ended August 3, 2024 and July 29, 2023 both consisted of 13 weeks and are referred to herein as the second quarter of fiscal year 2024 and the second quarter of fiscal year 2023, respectively. Fiscal year 2024 contains 52 weeks of operations and will end on February 1, 2025. Fiscal year 2023 contained 53 weeks of operations and ended on February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868045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References throughout this document to “Sportsman’s Warehouse,” “we,” “us,” and “our” refer to Sportsman’s Warehouse Holdings, Inc. and its subsidiaries, and references to “Holdings” refer to Sportsman’s Warehouse Holdings, Inc. excluding its subsidiaries. References to (i) “fiscal year 2024” refer to our fiscal year ending February 1, 2025; (ii) “fiscal year 2023” refer to our fiscal year ended February 3, 2024; and (iii) “fiscal year 2022” refer to our fiscal year ended January 28, 2023.</w:t>
      </w: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SPECIAL NOTE REGARDING FORWARD-LOOKING STATEMENTS</w:t>
      </w:r>
    </w:p>
    <w:p>
      <w:pPr>
        <w:spacing w:after="0" w:line="13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This Quarterly Report on Form 10-Q (this “10-Q”) contains statements that constitute forward-looking statements as that term is defined by the Private Securities Litigation Reform Act of 1995. These statements concern our business, operations and financial performance and condition as well as our plans, objectives and expectations for our business operations and financial performance and condition, which are subject to risks and uncertainties. All statements other than statements of historical fact included in this 10-Q are forward-looking statements. These statements may include words such as “aim,” “anticipate,” “assume,” “believe,” “can have,” “could,” “due,” “estimate,” “expect,” “goal,” “intend,” “likely,” “may,” “objective,” “plan,” “positioned,” “potential,” “predict,” “should,” “target,” “will,” “would” and other words and terms of similar meaning in connection with any discussion of the timing or nature of future operating or financial performance or other events or trends. For example, all statements we make relating to our plans and objectives for future operations, growth or initiatives and strategies are forward-looking statements.</w:t>
      </w:r>
    </w:p>
    <w:p>
      <w:pPr>
        <w:spacing w:after="0" w:line="8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These forward-looking statements are based on current expectations, estimates, forecasts and projections about our business and the industry in which we operate and our management’s beliefs and assumptions. We derive many of our forward-looking statements from our own operating budgets and forecasts, which are based upon many detailed assumptions. While we believe that our assumptions are reasonable, we caution that predicting the impact of known factors is very difficult, and we cannot anticipate all factors that could affect our actual results.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of our forward-looking statements are subject to risks and uncertainties that may cause our actual results to differ materially from our expectations.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Important factors that could cause actual results to differ materially from our expectations include, but are not limited to:</w:t>
      </w:r>
    </w:p>
    <w:p>
      <w:pPr>
        <w:spacing w:after="0" w:line="96" w:lineRule="exact"/>
        <w:rPr>
          <w:sz w:val="20"/>
          <w:szCs w:val="20"/>
          <w:color w:val="auto"/>
        </w:rPr>
      </w:pPr>
    </w:p>
    <w:p>
      <w:pPr>
        <w:ind w:left="1020" w:right="180" w:hanging="504"/>
        <w:spacing w:after="0" w:line="283"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current and future government regulations, in particular regulations relating to the sale of firearms and ammunition, which may impact the supply and demand for our products and our ability to conduct our business;</w:t>
      </w:r>
    </w:p>
    <w:p>
      <w:pPr>
        <w:spacing w:after="0" w:line="51" w:lineRule="exact"/>
        <w:rPr>
          <w:rFonts w:ascii="Times New Roman" w:cs="Times New Roman" w:eastAsia="Times New Roman" w:hAnsi="Times New Roman"/>
          <w:sz w:val="18"/>
          <w:szCs w:val="18"/>
          <w:color w:val="auto"/>
        </w:rPr>
      </w:pPr>
    </w:p>
    <w:p>
      <w:pPr>
        <w:ind w:left="1020" w:right="720" w:hanging="504"/>
        <w:spacing w:after="0" w:line="283"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retail-based business model which is impacted by general economic and market conditions and economic, market and financial uncertainties that may cause a decline in consumer spending;</w:t>
      </w:r>
    </w:p>
    <w:p>
      <w:pPr>
        <w:spacing w:after="0" w:line="51" w:lineRule="exact"/>
        <w:rPr>
          <w:rFonts w:ascii="Times New Roman" w:cs="Times New Roman" w:eastAsia="Times New Roman" w:hAnsi="Times New Roman"/>
          <w:sz w:val="18"/>
          <w:szCs w:val="18"/>
          <w:color w:val="auto"/>
        </w:rPr>
      </w:pPr>
    </w:p>
    <w:p>
      <w:pPr>
        <w:ind w:left="1020" w:right="40" w:hanging="504"/>
        <w:spacing w:after="0" w:line="283"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concentration of stores in the Western United States which makes us susceptible to adverse conditions in this region, and could affect our sales and cause our operating results to suffer;</w:t>
      </w:r>
    </w:p>
    <w:p>
      <w:pPr>
        <w:spacing w:after="0" w:line="51"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highly fragmented and competitive industry in which we operate and the potential for increased competition;</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consumer demands, including regional preferences, which we may not be able to identify and respond to in a timely manner;</w:t>
      </w:r>
    </w:p>
    <w:p>
      <w:pPr>
        <w:spacing w:after="0" w:line="116" w:lineRule="exact"/>
        <w:rPr>
          <w:rFonts w:ascii="Times New Roman" w:cs="Times New Roman" w:eastAsia="Times New Roman" w:hAnsi="Times New Roman"/>
          <w:sz w:val="18"/>
          <w:szCs w:val="18"/>
          <w:color w:val="auto"/>
        </w:rPr>
      </w:pPr>
    </w:p>
    <w:p>
      <w:pPr>
        <w:ind w:left="1020" w:right="140" w:hanging="504"/>
        <w:spacing w:after="0" w:line="283"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entrance into new markets or operations in existing markets, including our plans to open additional stores in future periods, which may not be successful;</w:t>
      </w:r>
    </w:p>
    <w:p>
      <w:pPr>
        <w:spacing w:after="0" w:line="51" w:lineRule="exact"/>
        <w:rPr>
          <w:rFonts w:ascii="Times New Roman" w:cs="Times New Roman" w:eastAsia="Times New Roman" w:hAnsi="Times New Roman"/>
          <w:sz w:val="18"/>
          <w:szCs w:val="18"/>
          <w:color w:val="auto"/>
        </w:rPr>
      </w:pPr>
    </w:p>
    <w:p>
      <w:pPr>
        <w:ind w:left="1020" w:hanging="504"/>
        <w:spacing w:after="0" w:line="283"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implementation of a plan to reduce expenses in response to adverse macroeconomic conditions, including an increased focus on financial discipline and rigor throughout our organization; and</w:t>
      </w:r>
    </w:p>
    <w:p>
      <w:pPr>
        <w:spacing w:after="0" w:line="51" w:lineRule="exact"/>
        <w:rPr>
          <w:rFonts w:ascii="Times New Roman" w:cs="Times New Roman" w:eastAsia="Times New Roman" w:hAnsi="Times New Roman"/>
          <w:sz w:val="18"/>
          <w:szCs w:val="18"/>
          <w:color w:val="auto"/>
        </w:rPr>
      </w:pPr>
    </w:p>
    <w:p>
      <w:pPr>
        <w:ind w:left="1020" w:right="720" w:hanging="504"/>
        <w:spacing w:after="0" w:line="283"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general macroeconomic conditions, such as labor shortages, inflation, rising interest rates, economic slowdowns, and recessions or market corrections.</w:t>
      </w:r>
    </w:p>
    <w:p>
      <w:pPr>
        <w:spacing w:after="0" w:line="65"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i w:val="1"/>
          <w:iCs w:val="1"/>
          <w:color w:val="auto"/>
        </w:rPr>
        <w:t>The above is not a complete list of factors or events that could cause actual results to differ from our expectations, and we cannot predict all of them. All written and oral forward-looking statements attributable to us, or persons acting on our behalf, are expressly qualified in their entirety by the cautionary statements disclosed under “Part I., Item 1A., Risk Factors,” appearing in our Annual Report on Form 10-K for the fiscal year ended February 3, 2024 (our “Fiscal 2023 Form 10-K”) and “Part I., Item 2., Management’s Discussion and Analysis of Financial</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Condition and Results of Operations” and elsewhere in this 10-Q, as such disclosures may be amended, supplemented or superseded from time to time by other reports we file with the Securities and Exchange Commission (the “SEC”), including subsequent Annual Reports on Form 10-K and Quarterly Reports on Form 10-Q, and public communications. You should evaluate all forward-looking statements made in this 10-Q and otherwise in the context of these risks and uncertainties.</w:t>
      </w:r>
    </w:p>
    <w:p>
      <w:pPr>
        <w:spacing w:after="0" w:line="17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Potential investors and other readers are urged to consider these factors carefully in evaluating the forward-looking statements and are cautioned not to place undue reliance on any forward-looking statements we make. These forward-looking statements speak only as of the date of this 10-Q and are not guarantees of future performance or developments and involve known and unknown risks, uncertainties and other factors that are in many cases beyond our control. Except as required by law, we undertake no obligation to update or revise any forward-looking statements publicly, whether as a result of new information, future developments or otherwise.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68"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73" w:lineRule="exact"/>
        <w:rPr>
          <w:sz w:val="20"/>
          <w:szCs w:val="20"/>
          <w:color w:val="auto"/>
        </w:rPr>
      </w:pPr>
    </w:p>
    <w:p>
      <w:pPr>
        <w:jc w:val="center"/>
        <w:ind w:right="40"/>
        <w:spacing w:after="0" w:line="264" w:lineRule="auto"/>
        <w:rPr>
          <w:sz w:val="20"/>
          <w:szCs w:val="20"/>
          <w:color w:val="auto"/>
        </w:rPr>
      </w:pPr>
      <w:r>
        <w:rPr>
          <w:rFonts w:ascii="Times New Roman" w:cs="Times New Roman" w:eastAsia="Times New Roman" w:hAnsi="Times New Roman"/>
          <w:sz w:val="18"/>
          <w:szCs w:val="18"/>
          <w:b w:val="1"/>
          <w:bCs w:val="1"/>
          <w:color w:val="auto"/>
        </w:rPr>
        <w:t>SPORTSMAN’S WAREHOUSE HOLDINGS, INC. AND SUBSIDIARIES CONDENSED CONSOLIDATED BALANCE SHEETS Amounts in Thousands, Except Par Value Data (unaudited)</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August 3,</w:t>
            </w: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February 3,</w:t>
            </w:r>
          </w:p>
        </w:tc>
      </w:tr>
      <w:tr>
        <w:trPr>
          <w:trHeight w:val="187"/>
        </w:trPr>
        <w:tc>
          <w:tcPr>
            <w:tcW w:w="7080" w:type="dxa"/>
            <w:vAlign w:val="bottom"/>
          </w:tcPr>
          <w:p>
            <w:pPr>
              <w:spacing w:after="0"/>
              <w:rPr>
                <w:sz w:val="16"/>
                <w:szCs w:val="16"/>
                <w:color w:val="auto"/>
              </w:rPr>
            </w:pPr>
          </w:p>
        </w:tc>
        <w:tc>
          <w:tcPr>
            <w:tcW w:w="1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r>
      <w:tr>
        <w:trPr>
          <w:trHeight w:val="236"/>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1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60" w:type="dxa"/>
            <w:vAlign w:val="bottom"/>
            <w:shd w:val="clear" w:color="auto" w:fill="CFF0FC"/>
          </w:tcPr>
          <w:p>
            <w:pPr>
              <w:jc w:val="right"/>
              <w:ind w:right="105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6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100" w:type="dxa"/>
            <w:vAlign w:val="bottom"/>
            <w:shd w:val="clear" w:color="auto" w:fill="CFF0FC"/>
          </w:tcPr>
          <w:p>
            <w:pPr>
              <w:spacing w:after="0"/>
              <w:rPr>
                <w:sz w:val="21"/>
                <w:szCs w:val="21"/>
                <w:color w:val="auto"/>
              </w:rPr>
            </w:pPr>
          </w:p>
        </w:tc>
      </w:tr>
      <w:tr>
        <w:trPr>
          <w:trHeight w:val="238"/>
        </w:trPr>
        <w:tc>
          <w:tcPr>
            <w:tcW w:w="7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100" w:type="dxa"/>
            <w:vAlign w:val="bottom"/>
          </w:tcPr>
          <w:p>
            <w:pPr>
              <w:spacing w:after="0"/>
              <w:rPr>
                <w:sz w:val="20"/>
                <w:szCs w:val="20"/>
                <w:color w:val="auto"/>
              </w:rPr>
            </w:pPr>
          </w:p>
        </w:tc>
      </w:tr>
      <w:tr>
        <w:trPr>
          <w:trHeight w:val="247"/>
        </w:trPr>
        <w:tc>
          <w:tcPr>
            <w:tcW w:w="7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Income tax receivable</w:t>
            </w:r>
          </w:p>
        </w:tc>
        <w:tc>
          <w:tcPr>
            <w:tcW w:w="12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Merchandise inventories</w:t>
            </w:r>
          </w:p>
        </w:tc>
        <w:tc>
          <w:tcPr>
            <w:tcW w:w="1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363,435</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354,710</w:t>
            </w:r>
          </w:p>
        </w:tc>
        <w:tc>
          <w:tcPr>
            <w:tcW w:w="100" w:type="dxa"/>
            <w:vAlign w:val="bottom"/>
          </w:tcPr>
          <w:p>
            <w:pPr>
              <w:spacing w:after="0"/>
              <w:rPr>
                <w:sz w:val="20"/>
                <w:szCs w:val="20"/>
                <w:color w:val="auto"/>
              </w:rPr>
            </w:pPr>
          </w:p>
        </w:tc>
      </w:tr>
      <w:tr>
        <w:trPr>
          <w:trHeight w:val="243"/>
        </w:trPr>
        <w:tc>
          <w:tcPr>
            <w:tcW w:w="70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26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17,007</w:t>
            </w:r>
          </w:p>
        </w:tc>
        <w:tc>
          <w:tcPr>
            <w:tcW w:w="3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20,078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0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current assets</w:t>
            </w:r>
          </w:p>
        </w:tc>
        <w:tc>
          <w:tcPr>
            <w:tcW w:w="1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385,321</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380,048</w:t>
            </w:r>
          </w:p>
        </w:tc>
        <w:tc>
          <w:tcPr>
            <w:tcW w:w="100" w:type="dxa"/>
            <w:vAlign w:val="bottom"/>
          </w:tcPr>
          <w:p>
            <w:pPr>
              <w:spacing w:after="0"/>
              <w:rPr>
                <w:sz w:val="20"/>
                <w:szCs w:val="20"/>
                <w:color w:val="auto"/>
              </w:rPr>
            </w:pPr>
          </w:p>
        </w:tc>
      </w:tr>
      <w:tr>
        <w:trPr>
          <w:trHeight w:val="247"/>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w:t>
            </w:r>
          </w:p>
        </w:tc>
        <w:tc>
          <w:tcPr>
            <w:tcW w:w="12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325,063</w:t>
            </w:r>
          </w:p>
        </w:tc>
        <w:tc>
          <w:tcPr>
            <w:tcW w:w="3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309,377</w:t>
            </w:r>
          </w:p>
        </w:tc>
        <w:tc>
          <w:tcPr>
            <w:tcW w:w="100" w:type="dxa"/>
            <w:vAlign w:val="bottom"/>
            <w:shd w:val="clear" w:color="auto" w:fill="CFF0FC"/>
          </w:tcPr>
          <w:p>
            <w:pPr>
              <w:spacing w:after="0"/>
              <w:rPr>
                <w:sz w:val="21"/>
                <w:szCs w:val="21"/>
                <w:color w:val="auto"/>
              </w:rPr>
            </w:pPr>
          </w:p>
        </w:tc>
      </w:tr>
      <w:tr>
        <w:trPr>
          <w:trHeight w:val="238"/>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181,689</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194,452</w:t>
            </w:r>
          </w:p>
        </w:tc>
        <w:tc>
          <w:tcPr>
            <w:tcW w:w="100" w:type="dxa"/>
            <w:vAlign w:val="bottom"/>
          </w:tcPr>
          <w:p>
            <w:pPr>
              <w:spacing w:after="0"/>
              <w:rPr>
                <w:sz w:val="20"/>
                <w:szCs w:val="20"/>
                <w:color w:val="auto"/>
              </w:rPr>
            </w:pPr>
          </w:p>
        </w:tc>
      </w:tr>
      <w:tr>
        <w:trPr>
          <w:trHeight w:val="247"/>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3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shd w:val="clear" w:color="auto" w:fill="CFF0FC"/>
          </w:tcPr>
          <w:p>
            <w:pPr>
              <w:spacing w:after="0"/>
              <w:rPr>
                <w:sz w:val="21"/>
                <w:szCs w:val="21"/>
                <w:color w:val="auto"/>
              </w:rPr>
            </w:pPr>
          </w:p>
        </w:tc>
      </w:tr>
      <w:tr>
        <w:trPr>
          <w:trHeight w:val="238"/>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1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8,038</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Pr>
          <w:p>
            <w:pPr>
              <w:spacing w:after="0"/>
              <w:rPr>
                <w:sz w:val="20"/>
                <w:szCs w:val="20"/>
                <w:color w:val="auto"/>
              </w:rPr>
            </w:pPr>
          </w:p>
        </w:tc>
      </w:tr>
      <w:tr>
        <w:trPr>
          <w:trHeight w:val="243"/>
        </w:trPr>
        <w:tc>
          <w:tcPr>
            <w:tcW w:w="7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Definite lived intangibles, net</w:t>
            </w:r>
          </w:p>
        </w:tc>
        <w:tc>
          <w:tcPr>
            <w:tcW w:w="126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3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0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1260" w:type="dxa"/>
            <w:vAlign w:val="bottom"/>
          </w:tcPr>
          <w:p>
            <w:pPr>
              <w:jc w:val="right"/>
              <w:ind w:right="105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901,904</w:t>
            </w:r>
          </w:p>
        </w:tc>
        <w:tc>
          <w:tcPr>
            <w:tcW w:w="6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886,205</w:t>
            </w:r>
          </w:p>
        </w:tc>
        <w:tc>
          <w:tcPr>
            <w:tcW w:w="100" w:type="dxa"/>
            <w:vAlign w:val="bottom"/>
          </w:tcPr>
          <w:p>
            <w:pPr>
              <w:spacing w:after="0"/>
              <w:rPr>
                <w:sz w:val="20"/>
                <w:szCs w:val="20"/>
                <w:color w:val="auto"/>
              </w:rPr>
            </w:pPr>
          </w:p>
        </w:tc>
      </w:tr>
      <w:tr>
        <w:trPr>
          <w:trHeight w:val="20"/>
        </w:trPr>
        <w:tc>
          <w:tcPr>
            <w:tcW w:w="70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7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1260" w:type="dxa"/>
            <w:vAlign w:val="bottom"/>
            <w:shd w:val="clear" w:color="auto" w:fill="CFF0FC"/>
          </w:tcPr>
          <w:p>
            <w:pPr>
              <w:jc w:val="right"/>
              <w:ind w:right="105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55,250</w:t>
            </w:r>
          </w:p>
        </w:tc>
        <w:tc>
          <w:tcPr>
            <w:tcW w:w="6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56,122</w:t>
            </w:r>
          </w:p>
        </w:tc>
        <w:tc>
          <w:tcPr>
            <w:tcW w:w="100" w:type="dxa"/>
            <w:vAlign w:val="bottom"/>
            <w:shd w:val="clear" w:color="auto" w:fill="CFF0FC"/>
          </w:tcPr>
          <w:p>
            <w:pPr>
              <w:spacing w:after="0"/>
              <w:rPr>
                <w:sz w:val="21"/>
                <w:szCs w:val="21"/>
                <w:color w:val="auto"/>
              </w:rPr>
            </w:pPr>
          </w:p>
        </w:tc>
      </w:tr>
      <w:tr>
        <w:trPr>
          <w:trHeight w:val="238"/>
        </w:trPr>
        <w:tc>
          <w:tcPr>
            <w:tcW w:w="7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w:t>
            </w:r>
          </w:p>
        </w:tc>
        <w:tc>
          <w:tcPr>
            <w:tcW w:w="1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80,382</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83,665</w:t>
            </w:r>
          </w:p>
        </w:tc>
        <w:tc>
          <w:tcPr>
            <w:tcW w:w="100" w:type="dxa"/>
            <w:vAlign w:val="bottom"/>
          </w:tcPr>
          <w:p>
            <w:pPr>
              <w:spacing w:after="0"/>
              <w:rPr>
                <w:sz w:val="20"/>
                <w:szCs w:val="20"/>
                <w:color w:val="auto"/>
              </w:rPr>
            </w:pPr>
          </w:p>
        </w:tc>
      </w:tr>
      <w:tr>
        <w:trPr>
          <w:trHeight w:val="247"/>
        </w:trPr>
        <w:tc>
          <w:tcPr>
            <w:tcW w:w="7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Income taxes payable</w:t>
            </w:r>
          </w:p>
        </w:tc>
        <w:tc>
          <w:tcPr>
            <w:tcW w:w="12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FF0FC"/>
          </w:tcPr>
          <w:p>
            <w:pPr>
              <w:spacing w:after="0"/>
              <w:rPr>
                <w:sz w:val="21"/>
                <w:szCs w:val="21"/>
                <w:color w:val="auto"/>
              </w:rPr>
            </w:pPr>
          </w:p>
        </w:tc>
      </w:tr>
      <w:tr>
        <w:trPr>
          <w:trHeight w:val="238"/>
        </w:trPr>
        <w:tc>
          <w:tcPr>
            <w:tcW w:w="7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1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49,129</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48,693</w:t>
            </w:r>
          </w:p>
        </w:tc>
        <w:tc>
          <w:tcPr>
            <w:tcW w:w="100" w:type="dxa"/>
            <w:vAlign w:val="bottom"/>
          </w:tcPr>
          <w:p>
            <w:pPr>
              <w:spacing w:after="0"/>
              <w:rPr>
                <w:sz w:val="20"/>
                <w:szCs w:val="20"/>
                <w:color w:val="auto"/>
              </w:rPr>
            </w:pPr>
          </w:p>
        </w:tc>
      </w:tr>
      <w:tr>
        <w:trPr>
          <w:trHeight w:val="243"/>
        </w:trPr>
        <w:tc>
          <w:tcPr>
            <w:tcW w:w="70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Revolving line of credit</w:t>
            </w:r>
          </w:p>
        </w:tc>
        <w:tc>
          <w:tcPr>
            <w:tcW w:w="126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131,054</w:t>
            </w:r>
          </w:p>
        </w:tc>
        <w:tc>
          <w:tcPr>
            <w:tcW w:w="3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126,043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0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315,815</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314,649</w:t>
            </w:r>
          </w:p>
        </w:tc>
        <w:tc>
          <w:tcPr>
            <w:tcW w:w="100" w:type="dxa"/>
            <w:vAlign w:val="bottom"/>
          </w:tcPr>
          <w:p>
            <w:pPr>
              <w:spacing w:after="0"/>
              <w:rPr>
                <w:sz w:val="20"/>
                <w:szCs w:val="20"/>
                <w:color w:val="auto"/>
              </w:rPr>
            </w:pPr>
          </w:p>
        </w:tc>
      </w:tr>
      <w:tr>
        <w:trPr>
          <w:trHeight w:val="247"/>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12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Term loan, net</w:t>
            </w:r>
          </w:p>
        </w:tc>
        <w:tc>
          <w:tcPr>
            <w:tcW w:w="1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24,032</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0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126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319,022</w:t>
            </w:r>
          </w:p>
        </w:tc>
        <w:tc>
          <w:tcPr>
            <w:tcW w:w="3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307,000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0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2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343,054</w:t>
            </w:r>
          </w:p>
        </w:tc>
        <w:tc>
          <w:tcPr>
            <w:tcW w:w="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307,000</w:t>
            </w:r>
          </w:p>
        </w:tc>
        <w:tc>
          <w:tcPr>
            <w:tcW w:w="100" w:type="dxa"/>
            <w:vAlign w:val="bottom"/>
          </w:tcPr>
          <w:p>
            <w:pPr>
              <w:spacing w:after="0"/>
              <w:rPr>
                <w:sz w:val="20"/>
                <w:szCs w:val="20"/>
                <w:color w:val="auto"/>
              </w:rPr>
            </w:pPr>
          </w:p>
        </w:tc>
      </w:tr>
      <w:tr>
        <w:trPr>
          <w:trHeight w:val="236"/>
        </w:trPr>
        <w:tc>
          <w:tcPr>
            <w:tcW w:w="708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liabilities</w:t>
            </w:r>
          </w:p>
        </w:tc>
        <w:tc>
          <w:tcPr>
            <w:tcW w:w="126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658,869</w:t>
            </w:r>
          </w:p>
        </w:tc>
        <w:tc>
          <w:tcPr>
            <w:tcW w:w="3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621,649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476"/>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9"/>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2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Preferred stock, $.01 par value; 20,000 shares authorized; 0 shares issued and outstanding</w:t>
            </w:r>
          </w:p>
        </w:tc>
        <w:tc>
          <w:tcPr>
            <w:tcW w:w="1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7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Common stock, $.01 par value; 100,000 shares authorized; 37,848 and 37,529 shares</w:t>
            </w:r>
          </w:p>
        </w:tc>
        <w:tc>
          <w:tcPr>
            <w:tcW w:w="12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issued and outstanding, respectively</w:t>
            </w:r>
          </w:p>
        </w:tc>
        <w:tc>
          <w:tcPr>
            <w:tcW w:w="12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3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shd w:val="clear" w:color="auto" w:fill="CFF0FC"/>
          </w:tcPr>
          <w:p>
            <w:pPr>
              <w:spacing w:after="0"/>
              <w:rPr>
                <w:sz w:val="21"/>
                <w:szCs w:val="21"/>
                <w:color w:val="auto"/>
              </w:rPr>
            </w:pPr>
          </w:p>
        </w:tc>
      </w:tr>
      <w:tr>
        <w:trPr>
          <w:trHeight w:val="238"/>
        </w:trPr>
        <w:tc>
          <w:tcPr>
            <w:tcW w:w="7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84,246</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81,798</w:t>
            </w:r>
          </w:p>
        </w:tc>
        <w:tc>
          <w:tcPr>
            <w:tcW w:w="100" w:type="dxa"/>
            <w:vAlign w:val="bottom"/>
          </w:tcPr>
          <w:p>
            <w:pPr>
              <w:spacing w:after="0"/>
              <w:rPr>
                <w:sz w:val="20"/>
                <w:szCs w:val="20"/>
                <w:color w:val="auto"/>
              </w:rPr>
            </w:pPr>
          </w:p>
        </w:tc>
      </w:tr>
      <w:tr>
        <w:trPr>
          <w:trHeight w:val="243"/>
        </w:trPr>
        <w:tc>
          <w:tcPr>
            <w:tcW w:w="70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Accumulated earnings</w:t>
            </w:r>
          </w:p>
        </w:tc>
        <w:tc>
          <w:tcPr>
            <w:tcW w:w="126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158,411</w:t>
            </w:r>
          </w:p>
        </w:tc>
        <w:tc>
          <w:tcPr>
            <w:tcW w:w="3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182,383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0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243,035</w:t>
            </w:r>
          </w:p>
        </w:tc>
        <w:tc>
          <w:tcPr>
            <w:tcW w:w="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264,556</w:t>
            </w:r>
          </w:p>
        </w:tc>
        <w:tc>
          <w:tcPr>
            <w:tcW w:w="100" w:type="dxa"/>
            <w:vAlign w:val="bottom"/>
          </w:tcPr>
          <w:p>
            <w:pPr>
              <w:spacing w:after="0"/>
              <w:rPr>
                <w:sz w:val="20"/>
                <w:szCs w:val="20"/>
                <w:color w:val="auto"/>
              </w:rPr>
            </w:pPr>
          </w:p>
        </w:tc>
      </w:tr>
      <w:tr>
        <w:trPr>
          <w:trHeight w:val="276"/>
        </w:trPr>
        <w:tc>
          <w:tcPr>
            <w:tcW w:w="708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60" w:type="dxa"/>
            <w:vAlign w:val="bottom"/>
            <w:tcBorders>
              <w:bottom w:val="single" w:sz="8" w:color="auto"/>
            </w:tcBorders>
            <w:shd w:val="clear" w:color="auto" w:fill="CFF0FC"/>
          </w:tcPr>
          <w:p>
            <w:pPr>
              <w:jc w:val="right"/>
              <w:ind w:right="105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901,904</w:t>
            </w:r>
          </w:p>
        </w:tc>
        <w:tc>
          <w:tcPr>
            <w:tcW w:w="3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886,205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5690235</wp:posOffset>
            </wp:positionH>
            <wp:positionV relativeFrom="paragraph">
              <wp:posOffset>-4879975</wp:posOffset>
            </wp:positionV>
            <wp:extent cx="768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-4879975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-3946525</wp:posOffset>
            </wp:positionV>
            <wp:extent cx="768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-3946525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-2525395</wp:posOffset>
            </wp:positionV>
            <wp:extent cx="768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-2525395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-1899920</wp:posOffset>
            </wp:positionV>
            <wp:extent cx="76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-1899920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-1574800</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-1574800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-350520</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-24765</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-7620</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768" w:right="339" w:bottom="9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498475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974"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18"/>
          <w:szCs w:val="18"/>
          <w:b w:val="1"/>
          <w:bCs w:val="1"/>
          <w:color w:val="auto"/>
        </w:rPr>
        <w:t>SPORTSMAN’S WAREHOUSE HOLDINGS, INC. AND SUBSIDIARIES CONDENSED CONSOLIDATED STATEMENTS OF OPERATIONS Amounts in Thousands, Except Per Share Data (unaudited)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0" w:type="dxa"/>
            <w:vAlign w:val="bottom"/>
            <w:gridSpan w:val="5"/>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58"/>
        </w:trPr>
        <w:tc>
          <w:tcPr>
            <w:tcW w:w="39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gridSpan w:val="2"/>
          </w:tcPr>
          <w:p>
            <w:pPr>
              <w:jc w:val="right"/>
              <w:ind w:right="800"/>
              <w:spacing w:after="0" w:line="157"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5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472"/>
              <w:spacing w:after="0" w:line="157" w:lineRule="exact"/>
              <w:rPr>
                <w:sz w:val="20"/>
                <w:szCs w:val="20"/>
                <w:color w:val="auto"/>
              </w:rPr>
            </w:pPr>
            <w:r>
              <w:rPr>
                <w:rFonts w:ascii="Times New Roman" w:cs="Times New Roman" w:eastAsia="Times New Roman" w:hAnsi="Times New Roman"/>
                <w:sz w:val="14"/>
                <w:szCs w:val="14"/>
                <w:b w:val="1"/>
                <w:bCs w:val="1"/>
                <w:color w:val="auto"/>
                <w:w w:val="98"/>
              </w:rPr>
              <w:t>July 29,</w:t>
            </w:r>
          </w:p>
        </w:tc>
        <w:tc>
          <w:tcPr>
            <w:tcW w:w="3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gridSpan w:val="2"/>
          </w:tcPr>
          <w:p>
            <w:pPr>
              <w:jc w:val="right"/>
              <w:ind w:right="760"/>
              <w:spacing w:after="0" w:line="157"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3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452"/>
              <w:spacing w:after="0" w:line="157" w:lineRule="exact"/>
              <w:rPr>
                <w:sz w:val="20"/>
                <w:szCs w:val="20"/>
                <w:color w:val="auto"/>
              </w:rPr>
            </w:pPr>
            <w:r>
              <w:rPr>
                <w:rFonts w:ascii="Times New Roman" w:cs="Times New Roman" w:eastAsia="Times New Roman" w:hAnsi="Times New Roman"/>
                <w:sz w:val="14"/>
                <w:szCs w:val="14"/>
                <w:b w:val="1"/>
                <w:bCs w:val="1"/>
                <w:color w:val="auto"/>
              </w:rPr>
              <w:t>July 29,</w:t>
            </w:r>
          </w:p>
        </w:tc>
        <w:tc>
          <w:tcPr>
            <w:tcW w:w="100" w:type="dxa"/>
            <w:vAlign w:val="bottom"/>
          </w:tcPr>
          <w:p>
            <w:pPr>
              <w:spacing w:after="0"/>
              <w:rPr>
                <w:sz w:val="13"/>
                <w:szCs w:val="13"/>
                <w:color w:val="auto"/>
              </w:rPr>
            </w:pPr>
          </w:p>
        </w:tc>
      </w:tr>
      <w:tr>
        <w:trPr>
          <w:trHeight w:val="187"/>
        </w:trPr>
        <w:tc>
          <w:tcPr>
            <w:tcW w:w="39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288,734</w:t>
            </w:r>
          </w:p>
        </w:tc>
        <w:tc>
          <w:tcPr>
            <w:tcW w:w="320" w:type="dxa"/>
            <w:vAlign w:val="bottom"/>
            <w:shd w:val="clear" w:color="auto" w:fill="CFF0FC"/>
          </w:tcPr>
          <w:p>
            <w:pPr>
              <w:spacing w:after="0"/>
              <w:rPr>
                <w:sz w:val="20"/>
                <w:szCs w:val="20"/>
                <w:color w:val="auto"/>
              </w:rPr>
            </w:pP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309,495</w:t>
            </w: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532,974</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577,024</w:t>
            </w:r>
          </w:p>
        </w:tc>
        <w:tc>
          <w:tcPr>
            <w:tcW w:w="100" w:type="dxa"/>
            <w:vAlign w:val="bottom"/>
            <w:shd w:val="clear" w:color="auto" w:fill="CFF0FC"/>
          </w:tcPr>
          <w:p>
            <w:pPr>
              <w:spacing w:after="0"/>
              <w:rPr>
                <w:sz w:val="20"/>
                <w:szCs w:val="20"/>
                <w:color w:val="auto"/>
              </w:rPr>
            </w:pPr>
          </w:p>
        </w:tc>
      </w:tr>
      <w:tr>
        <w:trPr>
          <w:trHeight w:val="238"/>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198,716</w:t>
            </w:r>
          </w:p>
        </w:tc>
        <w:tc>
          <w:tcPr>
            <w:tcW w:w="3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208,678</w:t>
            </w:r>
          </w:p>
        </w:tc>
        <w:tc>
          <w:tcPr>
            <w:tcW w:w="3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369,170</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396,163</w:t>
            </w:r>
          </w:p>
        </w:tc>
        <w:tc>
          <w:tcPr>
            <w:tcW w:w="100" w:type="dxa"/>
            <w:vAlign w:val="bottom"/>
          </w:tcPr>
          <w:p>
            <w:pPr>
              <w:spacing w:after="0"/>
              <w:rPr>
                <w:sz w:val="20"/>
                <w:szCs w:val="20"/>
                <w:color w:val="auto"/>
              </w:rPr>
            </w:pPr>
          </w:p>
        </w:tc>
      </w:tr>
      <w:tr>
        <w:trPr>
          <w:trHeight w:val="236"/>
        </w:trPr>
        <w:tc>
          <w:tcPr>
            <w:tcW w:w="3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90,018</w:t>
            </w:r>
          </w:p>
        </w:tc>
        <w:tc>
          <w:tcPr>
            <w:tcW w:w="32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100,817</w:t>
            </w:r>
          </w:p>
        </w:tc>
        <w:tc>
          <w:tcPr>
            <w:tcW w:w="3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163,804</w:t>
            </w:r>
          </w:p>
        </w:tc>
        <w:tc>
          <w:tcPr>
            <w:tcW w:w="2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180,861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477"/>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94,341</w:t>
            </w:r>
          </w:p>
        </w:tc>
        <w:tc>
          <w:tcPr>
            <w:tcW w:w="3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102,334</w:t>
            </w:r>
          </w:p>
        </w:tc>
        <w:tc>
          <w:tcPr>
            <w:tcW w:w="3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188,754</w:t>
            </w:r>
          </w:p>
        </w:tc>
        <w:tc>
          <w:tcPr>
            <w:tcW w:w="2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201,337</w:t>
            </w:r>
          </w:p>
        </w:tc>
        <w:tc>
          <w:tcPr>
            <w:tcW w:w="100" w:type="dxa"/>
            <w:vAlign w:val="bottom"/>
          </w:tcPr>
          <w:p>
            <w:pPr>
              <w:spacing w:after="0"/>
              <w:rPr>
                <w:sz w:val="24"/>
                <w:szCs w:val="24"/>
                <w:color w:val="auto"/>
              </w:rPr>
            </w:pPr>
          </w:p>
        </w:tc>
      </w:tr>
      <w:tr>
        <w:trPr>
          <w:trHeight w:val="243"/>
        </w:trPr>
        <w:tc>
          <w:tcPr>
            <w:tcW w:w="3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(4,323 )</w:t>
            </w:r>
          </w:p>
        </w:tc>
        <w:tc>
          <w:tcPr>
            <w:tcW w:w="5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(1,517 )</w:t>
            </w:r>
          </w:p>
        </w:tc>
        <w:tc>
          <w:tcPr>
            <w:tcW w:w="30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(24,950 )</w:t>
            </w:r>
          </w:p>
        </w:tc>
        <w:tc>
          <w:tcPr>
            <w:tcW w:w="3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(20,476 )</w:t>
            </w:r>
          </w:p>
        </w:tc>
      </w:tr>
      <w:tr>
        <w:trPr>
          <w:trHeight w:val="238"/>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3,527</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6,091</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5,574</w:t>
            </w:r>
          </w:p>
        </w:tc>
        <w:tc>
          <w:tcPr>
            <w:tcW w:w="100" w:type="dxa"/>
            <w:vAlign w:val="bottom"/>
          </w:tcPr>
          <w:p>
            <w:pPr>
              <w:spacing w:after="0"/>
              <w:rPr>
                <w:sz w:val="20"/>
                <w:szCs w:val="20"/>
                <w:color w:val="auto"/>
              </w:rPr>
            </w:pPr>
          </w:p>
        </w:tc>
      </w:tr>
      <w:tr>
        <w:trPr>
          <w:trHeight w:val="243"/>
        </w:trPr>
        <w:tc>
          <w:tcPr>
            <w:tcW w:w="3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losses</w:t>
            </w:r>
          </w:p>
        </w:tc>
        <w:tc>
          <w:tcPr>
            <w:tcW w:w="3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32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3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00" w:type="dxa"/>
            <w:vAlign w:val="bottom"/>
          </w:tcPr>
          <w:p>
            <w:pPr>
              <w:spacing w:after="0"/>
              <w:rPr>
                <w:sz w:val="20"/>
                <w:szCs w:val="20"/>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(7,963 )</w:t>
            </w:r>
          </w:p>
        </w:tc>
        <w:tc>
          <w:tcPr>
            <w:tcW w:w="5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(5,044 )</w:t>
            </w:r>
          </w:p>
        </w:tc>
        <w:tc>
          <w:tcPr>
            <w:tcW w:w="30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(31,498 )</w:t>
            </w:r>
          </w:p>
        </w:tc>
        <w:tc>
          <w:tcPr>
            <w:tcW w:w="32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(26,050 )</w:t>
            </w:r>
          </w:p>
        </w:tc>
      </w:tr>
      <w:tr>
        <w:trPr>
          <w:trHeight w:val="243"/>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0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(2,057 )</w:t>
            </w:r>
          </w:p>
        </w:tc>
        <w:tc>
          <w:tcPr>
            <w:tcW w:w="5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(1,756 )</w:t>
            </w:r>
          </w:p>
        </w:tc>
        <w:tc>
          <w:tcPr>
            <w:tcW w:w="30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(7,526 )</w:t>
            </w:r>
          </w:p>
        </w:tc>
        <w:tc>
          <w:tcPr>
            <w:tcW w:w="3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(7,123 )</w:t>
            </w:r>
          </w:p>
        </w:tc>
      </w:tr>
      <w:tr>
        <w:trPr>
          <w:trHeight w:val="20"/>
        </w:trPr>
        <w:tc>
          <w:tcPr>
            <w:tcW w:w="39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3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(5,906 )</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(3,288 )</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(23,972 )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(18,927 )</w:t>
            </w:r>
          </w:p>
        </w:tc>
      </w:tr>
      <w:tr>
        <w:trPr>
          <w:trHeight w:val="20"/>
        </w:trPr>
        <w:tc>
          <w:tcPr>
            <w:tcW w:w="39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per share:</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3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(0.16 )</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(0.09 )</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(0.64 )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(0.50 )</w:t>
            </w:r>
          </w:p>
        </w:tc>
      </w:tr>
      <w:tr>
        <w:trPr>
          <w:trHeight w:val="20"/>
        </w:trPr>
        <w:tc>
          <w:tcPr>
            <w:tcW w:w="39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3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(0.16 )</w:t>
            </w: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(0.09 )</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(0.64 )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(0.50 )</w:t>
            </w:r>
          </w:p>
        </w:tc>
      </w:tr>
      <w:tr>
        <w:trPr>
          <w:trHeight w:val="223"/>
        </w:trPr>
        <w:tc>
          <w:tcPr>
            <w:tcW w:w="39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320" w:type="dxa"/>
            <w:vAlign w:val="bottom"/>
            <w:tcBorders>
              <w:top w:val="single" w:sz="8" w:color="CFF0FC"/>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83"/>
        </w:trPr>
        <w:tc>
          <w:tcPr>
            <w:tcW w:w="3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shd w:val="clear" w:color="auto" w:fill="CFF0FC"/>
          </w:tcPr>
          <w:p>
            <w:pPr>
              <w:spacing w:after="0"/>
              <w:rPr>
                <w:sz w:val="24"/>
                <w:szCs w:val="2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37,751</w:t>
            </w:r>
          </w:p>
        </w:tc>
        <w:tc>
          <w:tcPr>
            <w:tcW w:w="32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37,498</w:t>
            </w:r>
          </w:p>
        </w:tc>
        <w:tc>
          <w:tcPr>
            <w:tcW w:w="3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spacing w:after="0"/>
              <w:rPr>
                <w:sz w:val="24"/>
                <w:szCs w:val="2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37,659</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4"/>
                <w:szCs w:val="24"/>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37,546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3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37,751</w:t>
            </w:r>
          </w:p>
        </w:tc>
        <w:tc>
          <w:tcPr>
            <w:tcW w:w="3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37,498</w:t>
            </w:r>
          </w:p>
        </w:tc>
        <w:tc>
          <w:tcPr>
            <w:tcW w:w="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37,659</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37,546</w:t>
            </w:r>
          </w:p>
        </w:tc>
        <w:tc>
          <w:tcPr>
            <w:tcW w:w="100" w:type="dxa"/>
            <w:vAlign w:val="bottom"/>
          </w:tcPr>
          <w:p>
            <w:pPr>
              <w:spacing w:after="0"/>
              <w:rPr>
                <w:sz w:val="19"/>
                <w:szCs w:val="19"/>
                <w:color w:val="auto"/>
              </w:rPr>
            </w:pPr>
          </w:p>
        </w:tc>
      </w:tr>
      <w:tr>
        <w:trPr>
          <w:trHeight w:val="20"/>
        </w:trPr>
        <w:tc>
          <w:tcPr>
            <w:tcW w:w="3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3524250</wp:posOffset>
            </wp:positionH>
            <wp:positionV relativeFrom="paragraph">
              <wp:posOffset>-2319655</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-2319655</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-2319655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-2319655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3524250</wp:posOffset>
            </wp:positionH>
            <wp:positionV relativeFrom="paragraph">
              <wp:posOffset>-1532255</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-1532255</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-1532255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-1532255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3524250</wp:posOffset>
            </wp:positionH>
            <wp:positionV relativeFrom="paragraph">
              <wp:posOffset>-1215390</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-1215390</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-1215390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-1215390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3524250</wp:posOffset>
            </wp:positionH>
            <wp:positionV relativeFrom="paragraph">
              <wp:posOffset>-538480</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3524250</wp:posOffset>
            </wp:positionH>
            <wp:positionV relativeFrom="paragraph">
              <wp:posOffset>-521970</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-538480</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-521970</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-538480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-521970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-538480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3524250</wp:posOffset>
            </wp:positionH>
            <wp:positionV relativeFrom="paragraph">
              <wp:posOffset>-205105</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3524250</wp:posOffset>
            </wp:positionH>
            <wp:positionV relativeFrom="paragraph">
              <wp:posOffset>-187960</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-205105</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-187960</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-205105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SPORTSMAN’S WAREHOUSE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Thirteen Weeks Ended August 3, 2024 and July 29, 2023</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5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3"/>
          </w:tcPr>
          <w:p>
            <w:pPr>
              <w:jc w:val="center"/>
              <w:ind w:right="200"/>
              <w:spacing w:after="0" w:line="157" w:lineRule="exact"/>
              <w:rPr>
                <w:sz w:val="20"/>
                <w:szCs w:val="20"/>
                <w:color w:val="auto"/>
              </w:rPr>
            </w:pPr>
            <w:r>
              <w:rPr>
                <w:rFonts w:ascii="Times New Roman" w:cs="Times New Roman" w:eastAsia="Times New Roman" w:hAnsi="Times New Roman"/>
                <w:sz w:val="14"/>
                <w:szCs w:val="14"/>
                <w:b w:val="1"/>
                <w:bCs w:val="1"/>
                <w:color w:val="auto"/>
              </w:rPr>
              <w:t>Addition</w:t>
            </w:r>
          </w:p>
        </w:tc>
        <w:tc>
          <w:tcPr>
            <w:tcW w:w="840" w:type="dxa"/>
            <w:vAlign w:val="bottom"/>
            <w:tcBorders>
              <w:top w:val="single" w:sz="8" w:color="auto"/>
            </w:tcBorders>
            <w:gridSpan w:val="3"/>
          </w:tcPr>
          <w:p>
            <w:pPr>
              <w:ind w:left="40"/>
              <w:spacing w:after="0" w:line="157" w:lineRule="exact"/>
              <w:rPr>
                <w:sz w:val="20"/>
                <w:szCs w:val="20"/>
                <w:color w:val="auto"/>
              </w:rPr>
            </w:pPr>
            <w:r>
              <w:rPr>
                <w:rFonts w:ascii="Times New Roman" w:cs="Times New Roman" w:eastAsia="Times New Roman" w:hAnsi="Times New Roman"/>
                <w:sz w:val="14"/>
                <w:szCs w:val="14"/>
                <w:b w:val="1"/>
                <w:bCs w:val="1"/>
                <w:color w:val="auto"/>
              </w:rPr>
              <w:t>Accumul</w:t>
            </w: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vMerge w:val="restart"/>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al</w:t>
            </w:r>
          </w:p>
        </w:tc>
        <w:tc>
          <w:tcPr>
            <w:tcW w:w="140" w:type="dxa"/>
            <w:vAlign w:val="bottom"/>
          </w:tcPr>
          <w:p>
            <w:pPr>
              <w:spacing w:after="0"/>
              <w:rPr>
                <w:sz w:val="15"/>
                <w:szCs w:val="15"/>
                <w:color w:val="auto"/>
              </w:rPr>
            </w:pPr>
          </w:p>
        </w:tc>
        <w:tc>
          <w:tcPr>
            <w:tcW w:w="7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ated</w:t>
            </w:r>
          </w:p>
        </w:tc>
        <w:tc>
          <w:tcPr>
            <w:tcW w:w="1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Restricted nonvoting</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76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stockhold</w:t>
            </w:r>
          </w:p>
        </w:tc>
        <w:tc>
          <w:tcPr>
            <w:tcW w:w="0" w:type="dxa"/>
            <w:vAlign w:val="bottom"/>
          </w:tcPr>
          <w:p>
            <w:pPr>
              <w:spacing w:after="0"/>
              <w:rPr>
                <w:sz w:val="1"/>
                <w:szCs w:val="1"/>
                <w:color w:val="auto"/>
              </w:rPr>
            </w:pPr>
          </w:p>
        </w:tc>
      </w:tr>
      <w:tr>
        <w:trPr>
          <w:trHeight w:val="175"/>
        </w:trPr>
        <w:tc>
          <w:tcPr>
            <w:tcW w:w="3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4"/>
            <w:vMerge w:val="continue"/>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ers'</w:t>
            </w:r>
          </w:p>
        </w:tc>
        <w:tc>
          <w:tcPr>
            <w:tcW w:w="0" w:type="dxa"/>
            <w:vAlign w:val="bottom"/>
          </w:tcPr>
          <w:p>
            <w:pPr>
              <w:spacing w:after="0"/>
              <w:rPr>
                <w:sz w:val="1"/>
                <w:szCs w:val="1"/>
                <w:color w:val="auto"/>
              </w:rPr>
            </w:pPr>
          </w:p>
        </w:tc>
      </w:tr>
      <w:tr>
        <w:trPr>
          <w:trHeight w:val="187"/>
        </w:trPr>
        <w:tc>
          <w:tcPr>
            <w:tcW w:w="356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16"/>
                <w:szCs w:val="16"/>
                <w:color w:val="auto"/>
              </w:rPr>
            </w:pPr>
          </w:p>
        </w:tc>
        <w:tc>
          <w:tcPr>
            <w:tcW w:w="7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3560" w:type="dxa"/>
            <w:vAlign w:val="bottom"/>
          </w:tcPr>
          <w:p>
            <w:pPr>
              <w:spacing w:after="0"/>
              <w:rPr>
                <w:sz w:val="14"/>
                <w:szCs w:val="14"/>
                <w:color w:val="auto"/>
              </w:rPr>
            </w:pPr>
          </w:p>
        </w:tc>
        <w:tc>
          <w:tcPr>
            <w:tcW w:w="94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4"/>
                <w:szCs w:val="14"/>
                <w:color w:val="auto"/>
              </w:rPr>
            </w:pPr>
          </w:p>
        </w:tc>
        <w:tc>
          <w:tcPr>
            <w:tcW w:w="7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4"/>
                <w:szCs w:val="14"/>
                <w:color w:val="auto"/>
              </w:rPr>
            </w:pPr>
          </w:p>
        </w:tc>
        <w:tc>
          <w:tcPr>
            <w:tcW w:w="90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8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6"/>
        </w:trPr>
        <w:tc>
          <w:tcPr>
            <w:tcW w:w="3560" w:type="dxa"/>
            <w:vAlign w:val="bottom"/>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356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8"/>
                <w:szCs w:val="18"/>
                <w:color w:val="auto"/>
              </w:rPr>
              <w:t>Balance at April 29, 2023</w:t>
            </w:r>
          </w:p>
        </w:tc>
        <w:tc>
          <w:tcPr>
            <w:tcW w:w="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4" w:lineRule="exact"/>
              <w:rPr>
                <w:sz w:val="20"/>
                <w:szCs w:val="20"/>
                <w:color w:val="auto"/>
              </w:rPr>
            </w:pPr>
            <w:r>
              <w:rPr>
                <w:rFonts w:ascii="Times New Roman" w:cs="Times New Roman" w:eastAsia="Times New Roman" w:hAnsi="Times New Roman"/>
                <w:sz w:val="18"/>
                <w:szCs w:val="18"/>
                <w:color w:val="auto"/>
              </w:rPr>
              <w:t>79,34</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4" w:lineRule="exact"/>
              <w:rPr>
                <w:sz w:val="20"/>
                <w:szCs w:val="20"/>
                <w:color w:val="auto"/>
              </w:rPr>
            </w:pPr>
            <w:r>
              <w:rPr>
                <w:rFonts w:ascii="Times New Roman" w:cs="Times New Roman" w:eastAsia="Times New Roman" w:hAnsi="Times New Roman"/>
                <w:sz w:val="18"/>
                <w:szCs w:val="18"/>
                <w:color w:val="auto"/>
              </w:rPr>
              <w:t>196,8</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4" w:lineRule="exact"/>
              <w:rPr>
                <w:sz w:val="20"/>
                <w:szCs w:val="20"/>
                <w:color w:val="auto"/>
              </w:rPr>
            </w:pPr>
            <w:r>
              <w:rPr>
                <w:rFonts w:ascii="Times New Roman" w:cs="Times New Roman" w:eastAsia="Times New Roman" w:hAnsi="Times New Roman"/>
                <w:sz w:val="18"/>
                <w:szCs w:val="18"/>
                <w:color w:val="auto"/>
              </w:rPr>
              <w:t>276,58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356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37,686</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377</w:t>
            </w:r>
          </w:p>
        </w:tc>
        <w:tc>
          <w:tcPr>
            <w:tcW w:w="24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auto"/>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Repurchase of treasury stock</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(2,052 )</w:t>
            </w:r>
          </w:p>
        </w:tc>
        <w:tc>
          <w:tcPr>
            <w:tcW w:w="10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(2,052 )</w:t>
            </w:r>
          </w:p>
        </w:tc>
        <w:tc>
          <w:tcPr>
            <w:tcW w:w="0" w:type="dxa"/>
            <w:vAlign w:val="bottom"/>
          </w:tcPr>
          <w:p>
            <w:pPr>
              <w:spacing w:after="0"/>
              <w:rPr>
                <w:sz w:val="1"/>
                <w:szCs w:val="1"/>
                <w:color w:val="auto"/>
              </w:rPr>
            </w:pPr>
          </w:p>
        </w:tc>
      </w:tr>
      <w:tr>
        <w:trPr>
          <w:trHeight w:val="247"/>
        </w:trPr>
        <w:tc>
          <w:tcPr>
            <w:tcW w:w="3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(431 )</w:t>
            </w:r>
          </w:p>
        </w:tc>
        <w:tc>
          <w:tcPr>
            <w:tcW w:w="30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(4 )</w:t>
            </w:r>
          </w:p>
        </w:tc>
        <w:tc>
          <w:tcPr>
            <w:tcW w:w="7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(431 )</w:t>
            </w:r>
          </w:p>
        </w:tc>
        <w:tc>
          <w:tcPr>
            <w:tcW w:w="12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(923 )</w:t>
            </w:r>
          </w:p>
        </w:tc>
        <w:tc>
          <w:tcPr>
            <w:tcW w:w="1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4"/>
              </w:rPr>
              <w:t>(1,125 )</w:t>
            </w:r>
          </w:p>
        </w:tc>
        <w:tc>
          <w:tcPr>
            <w:tcW w:w="12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3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 of withholdings on restricted stock</w:t>
            </w: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units</w:t>
            </w: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(112 )</w:t>
            </w:r>
          </w:p>
        </w:tc>
        <w:tc>
          <w:tcPr>
            <w:tcW w:w="1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(112 )</w:t>
            </w:r>
          </w:p>
        </w:tc>
        <w:tc>
          <w:tcPr>
            <w:tcW w:w="0" w:type="dxa"/>
            <w:vAlign w:val="bottom"/>
          </w:tcPr>
          <w:p>
            <w:pPr>
              <w:spacing w:after="0"/>
              <w:rPr>
                <w:sz w:val="1"/>
                <w:szCs w:val="1"/>
                <w:color w:val="auto"/>
              </w:rPr>
            </w:pPr>
          </w:p>
        </w:tc>
      </w:tr>
      <w:tr>
        <w:trPr>
          <w:trHeight w:val="211"/>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Issuance of common stock for</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per employee stock purchase</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plan</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4"/>
              </w:rPr>
              <w:t>(3,288 )</w:t>
            </w:r>
          </w:p>
        </w:tc>
        <w:tc>
          <w:tcPr>
            <w:tcW w:w="12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(3,288 )</w:t>
            </w:r>
          </w:p>
        </w:tc>
        <w:tc>
          <w:tcPr>
            <w:tcW w:w="0" w:type="dxa"/>
            <w:vAlign w:val="bottom"/>
          </w:tcPr>
          <w:p>
            <w:pPr>
              <w:spacing w:after="0"/>
              <w:rPr>
                <w:sz w:val="1"/>
                <w:szCs w:val="1"/>
                <w:color w:val="auto"/>
              </w:rPr>
            </w:pPr>
          </w:p>
        </w:tc>
      </w:tr>
      <w:tr>
        <w:trPr>
          <w:trHeight w:val="209"/>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July 29, 2023</w:t>
            </w:r>
          </w:p>
        </w:tc>
        <w:tc>
          <w:tcPr>
            <w:tcW w:w="7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79,88</w:t>
            </w:r>
          </w:p>
        </w:tc>
        <w:tc>
          <w:tcPr>
            <w:tcW w:w="2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3560" w:type="dxa"/>
            <w:vAlign w:val="bottom"/>
            <w:shd w:val="clear" w:color="auto" w:fill="CFF0FC"/>
          </w:tcPr>
          <w:p>
            <w:pPr>
              <w:spacing w:after="0"/>
              <w:rPr>
                <w:sz w:val="24"/>
                <w:szCs w:val="2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37,381</w:t>
            </w:r>
          </w:p>
        </w:tc>
        <w:tc>
          <w:tcPr>
            <w:tcW w:w="240" w:type="dxa"/>
            <w:vAlign w:val="bottom"/>
            <w:shd w:val="clear" w:color="auto" w:fill="CFF0FC"/>
          </w:tcPr>
          <w:p>
            <w:pPr>
              <w:spacing w:after="0"/>
              <w:rPr>
                <w:sz w:val="24"/>
                <w:szCs w:val="24"/>
                <w:color w:val="auto"/>
              </w:rPr>
            </w:pPr>
          </w:p>
        </w:tc>
        <w:tc>
          <w:tcPr>
            <w:tcW w:w="30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374</w:t>
            </w:r>
          </w:p>
        </w:tc>
        <w:tc>
          <w:tcPr>
            <w:tcW w:w="240" w:type="dxa"/>
            <w:vAlign w:val="bottom"/>
            <w:shd w:val="clear" w:color="auto" w:fill="CFF0FC"/>
          </w:tcPr>
          <w:p>
            <w:pPr>
              <w:spacing w:after="0"/>
              <w:rPr>
                <w:sz w:val="24"/>
                <w:szCs w:val="24"/>
                <w:color w:val="auto"/>
              </w:rPr>
            </w:pPr>
          </w:p>
        </w:tc>
        <w:tc>
          <w:tcPr>
            <w:tcW w:w="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4"/>
                <w:szCs w:val="24"/>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FF0FC"/>
          </w:tcPr>
          <w:p>
            <w:pPr>
              <w:spacing w:after="0"/>
              <w:rPr>
                <w:sz w:val="24"/>
                <w:szCs w:val="24"/>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shd w:val="clear" w:color="auto" w:fill="CFF0FC"/>
          </w:tcPr>
          <w:p>
            <w:pPr>
              <w:spacing w:after="0"/>
              <w:rPr>
                <w:sz w:val="24"/>
                <w:szCs w:val="24"/>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Balance at May 4, 2024</w:t>
            </w:r>
          </w:p>
        </w:tc>
        <w:tc>
          <w:tcPr>
            <w:tcW w:w="7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56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82,83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164,3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247,53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5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37,632</w:t>
            </w:r>
          </w:p>
        </w:tc>
        <w:tc>
          <w:tcPr>
            <w:tcW w:w="240" w:type="dxa"/>
            <w:vAlign w:val="bottom"/>
          </w:tcPr>
          <w:p>
            <w:pPr>
              <w:spacing w:after="0"/>
              <w:rPr>
                <w:sz w:val="20"/>
                <w:szCs w:val="20"/>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376</w:t>
            </w:r>
          </w:p>
        </w:tc>
        <w:tc>
          <w:tcPr>
            <w:tcW w:w="240" w:type="dxa"/>
            <w:vAlign w:val="bottom"/>
          </w:tcPr>
          <w:p>
            <w:pPr>
              <w:spacing w:after="0"/>
              <w:rPr>
                <w:sz w:val="20"/>
                <w:szCs w:val="20"/>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gridSpan w:val="2"/>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of withholdings on</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stock units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(1 )</w:t>
            </w:r>
          </w:p>
        </w:tc>
        <w:tc>
          <w:tcPr>
            <w:tcW w:w="300" w:type="dxa"/>
            <w:vAlign w:val="bottom"/>
          </w:tcPr>
          <w:p>
            <w:pPr>
              <w:spacing w:after="0"/>
              <w:rPr>
                <w:sz w:val="20"/>
                <w:szCs w:val="20"/>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(17 )</w:t>
            </w:r>
          </w:p>
        </w:tc>
        <w:tc>
          <w:tcPr>
            <w:tcW w:w="14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18"/>
        </w:trPr>
        <w:tc>
          <w:tcPr>
            <w:tcW w:w="3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Issuance of common stock for</w:t>
            </w: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per employee stock purchase</w:t>
            </w: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plan</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21"/>
                <w:szCs w:val="21"/>
                <w:color w:val="auto"/>
              </w:rPr>
            </w:pPr>
          </w:p>
        </w:tc>
        <w:tc>
          <w:tcPr>
            <w:tcW w:w="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4"/>
              </w:rPr>
              <w:t>(5,906 )</w:t>
            </w:r>
          </w:p>
        </w:tc>
        <w:tc>
          <w:tcPr>
            <w:tcW w:w="12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(5,906 )</w:t>
            </w:r>
          </w:p>
        </w:tc>
        <w:tc>
          <w:tcPr>
            <w:tcW w:w="0" w:type="dxa"/>
            <w:vAlign w:val="bottom"/>
          </w:tcPr>
          <w:p>
            <w:pPr>
              <w:spacing w:after="0"/>
              <w:rPr>
                <w:sz w:val="1"/>
                <w:szCs w:val="1"/>
                <w:color w:val="auto"/>
              </w:rPr>
            </w:pPr>
          </w:p>
        </w:tc>
      </w:tr>
      <w:tr>
        <w:trPr>
          <w:trHeight w:val="209"/>
        </w:trPr>
        <w:tc>
          <w:tcPr>
            <w:tcW w:w="35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at August 3, 2024</w:t>
            </w:r>
          </w:p>
        </w:tc>
        <w:tc>
          <w:tcPr>
            <w:tcW w:w="7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84,24</w:t>
            </w:r>
          </w:p>
        </w:tc>
        <w:tc>
          <w:tcPr>
            <w:tcW w:w="20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5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37,848</w:t>
            </w:r>
          </w:p>
        </w:tc>
        <w:tc>
          <w:tcPr>
            <w:tcW w:w="240" w:type="dxa"/>
            <w:vAlign w:val="bottom"/>
          </w:tcPr>
          <w:p>
            <w:pPr>
              <w:spacing w:after="0"/>
              <w:rPr>
                <w:sz w:val="20"/>
                <w:szCs w:val="20"/>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378</w:t>
            </w:r>
          </w:p>
        </w:tc>
        <w:tc>
          <w:tcPr>
            <w:tcW w:w="240" w:type="dxa"/>
            <w:vAlign w:val="bottom"/>
          </w:tcPr>
          <w:p>
            <w:pPr>
              <w:spacing w:after="0"/>
              <w:rPr>
                <w:sz w:val="20"/>
                <w:szCs w:val="20"/>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gridSpan w:val="2"/>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0"/>
        </w:trPr>
        <w:tc>
          <w:tcPr>
            <w:tcW w:w="3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35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2701925</wp:posOffset>
            </wp:positionH>
            <wp:positionV relativeFrom="paragraph">
              <wp:posOffset>-4871085</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2701925</wp:posOffset>
            </wp:positionH>
            <wp:positionV relativeFrom="paragraph">
              <wp:posOffset>-4853940</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-4871085</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-4853940</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-4871085</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-4853940</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-4871085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-4853940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-4871085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-4853940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-4871085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-4853940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-4871085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-4853940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-4871085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-4853940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-4871085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-4853940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2701925</wp:posOffset>
            </wp:positionH>
            <wp:positionV relativeFrom="paragraph">
              <wp:posOffset>-3056255</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2701925</wp:posOffset>
            </wp:positionH>
            <wp:positionV relativeFrom="paragraph">
              <wp:posOffset>-3039110</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-3056255</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-3039110</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-3056255</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-3039110</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-3056255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-3039110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-3056255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-3039110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-3056255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-3039110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-3056255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-3039110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-3056255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-3039110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-3056255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-3039110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2701925</wp:posOffset>
            </wp:positionH>
            <wp:positionV relativeFrom="paragraph">
              <wp:posOffset>-1369060</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-1369060</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-1369060</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-1369060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-1369060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-1369060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-1369060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-1369060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-1369060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Twenty-Six Weeks Ended August 3, 2024 and July 29, 2023</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5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3"/>
          </w:tcPr>
          <w:p>
            <w:pPr>
              <w:jc w:val="center"/>
              <w:ind w:right="200"/>
              <w:spacing w:after="0" w:line="157" w:lineRule="exact"/>
              <w:rPr>
                <w:sz w:val="20"/>
                <w:szCs w:val="20"/>
                <w:color w:val="auto"/>
              </w:rPr>
            </w:pPr>
            <w:r>
              <w:rPr>
                <w:rFonts w:ascii="Times New Roman" w:cs="Times New Roman" w:eastAsia="Times New Roman" w:hAnsi="Times New Roman"/>
                <w:sz w:val="14"/>
                <w:szCs w:val="14"/>
                <w:b w:val="1"/>
                <w:bCs w:val="1"/>
                <w:color w:val="auto"/>
              </w:rPr>
              <w:t>Addition</w:t>
            </w:r>
          </w:p>
        </w:tc>
        <w:tc>
          <w:tcPr>
            <w:tcW w:w="840" w:type="dxa"/>
            <w:vAlign w:val="bottom"/>
            <w:tcBorders>
              <w:top w:val="single" w:sz="8" w:color="auto"/>
            </w:tcBorders>
            <w:gridSpan w:val="3"/>
          </w:tcPr>
          <w:p>
            <w:pPr>
              <w:ind w:left="40"/>
              <w:spacing w:after="0" w:line="157" w:lineRule="exact"/>
              <w:rPr>
                <w:sz w:val="20"/>
                <w:szCs w:val="20"/>
                <w:color w:val="auto"/>
              </w:rPr>
            </w:pPr>
            <w:r>
              <w:rPr>
                <w:rFonts w:ascii="Times New Roman" w:cs="Times New Roman" w:eastAsia="Times New Roman" w:hAnsi="Times New Roman"/>
                <w:sz w:val="14"/>
                <w:szCs w:val="14"/>
                <w:b w:val="1"/>
                <w:bCs w:val="1"/>
                <w:color w:val="auto"/>
              </w:rPr>
              <w:t>Accumul</w:t>
            </w: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vMerge w:val="restart"/>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al</w:t>
            </w:r>
          </w:p>
        </w:tc>
        <w:tc>
          <w:tcPr>
            <w:tcW w:w="140" w:type="dxa"/>
            <w:vAlign w:val="bottom"/>
          </w:tcPr>
          <w:p>
            <w:pPr>
              <w:spacing w:after="0"/>
              <w:rPr>
                <w:sz w:val="15"/>
                <w:szCs w:val="15"/>
                <w:color w:val="auto"/>
              </w:rPr>
            </w:pPr>
          </w:p>
        </w:tc>
        <w:tc>
          <w:tcPr>
            <w:tcW w:w="7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ated</w:t>
            </w:r>
          </w:p>
        </w:tc>
        <w:tc>
          <w:tcPr>
            <w:tcW w:w="1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Restricted nonvoting</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76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stockhold</w:t>
            </w:r>
          </w:p>
        </w:tc>
        <w:tc>
          <w:tcPr>
            <w:tcW w:w="0" w:type="dxa"/>
            <w:vAlign w:val="bottom"/>
          </w:tcPr>
          <w:p>
            <w:pPr>
              <w:spacing w:after="0"/>
              <w:rPr>
                <w:sz w:val="1"/>
                <w:szCs w:val="1"/>
                <w:color w:val="auto"/>
              </w:rPr>
            </w:pPr>
          </w:p>
        </w:tc>
      </w:tr>
      <w:tr>
        <w:trPr>
          <w:trHeight w:val="175"/>
        </w:trPr>
        <w:tc>
          <w:tcPr>
            <w:tcW w:w="3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4"/>
            <w:vMerge w:val="continue"/>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ers</w:t>
            </w:r>
          </w:p>
        </w:tc>
        <w:tc>
          <w:tcPr>
            <w:tcW w:w="0" w:type="dxa"/>
            <w:vAlign w:val="bottom"/>
          </w:tcPr>
          <w:p>
            <w:pPr>
              <w:spacing w:after="0"/>
              <w:rPr>
                <w:sz w:val="1"/>
                <w:szCs w:val="1"/>
                <w:color w:val="auto"/>
              </w:rPr>
            </w:pPr>
          </w:p>
        </w:tc>
      </w:tr>
      <w:tr>
        <w:trPr>
          <w:trHeight w:val="187"/>
        </w:trPr>
        <w:tc>
          <w:tcPr>
            <w:tcW w:w="356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16"/>
                <w:szCs w:val="16"/>
                <w:color w:val="auto"/>
              </w:rPr>
            </w:pPr>
          </w:p>
        </w:tc>
        <w:tc>
          <w:tcPr>
            <w:tcW w:w="7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3560" w:type="dxa"/>
            <w:vAlign w:val="bottom"/>
          </w:tcPr>
          <w:p>
            <w:pPr>
              <w:spacing w:after="0"/>
              <w:rPr>
                <w:sz w:val="14"/>
                <w:szCs w:val="14"/>
                <w:color w:val="auto"/>
              </w:rPr>
            </w:pPr>
          </w:p>
        </w:tc>
        <w:tc>
          <w:tcPr>
            <w:tcW w:w="94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4"/>
                <w:szCs w:val="14"/>
                <w:color w:val="auto"/>
              </w:rPr>
            </w:pPr>
          </w:p>
        </w:tc>
        <w:tc>
          <w:tcPr>
            <w:tcW w:w="7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4"/>
                <w:szCs w:val="14"/>
                <w:color w:val="auto"/>
              </w:rPr>
            </w:pPr>
          </w:p>
        </w:tc>
        <w:tc>
          <w:tcPr>
            <w:tcW w:w="90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8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6"/>
        </w:trPr>
        <w:tc>
          <w:tcPr>
            <w:tcW w:w="3560" w:type="dxa"/>
            <w:vAlign w:val="bottom"/>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356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8"/>
                <w:szCs w:val="18"/>
                <w:color w:val="auto"/>
              </w:rPr>
              <w:t>Balance at January 28, 2023</w:t>
            </w:r>
          </w:p>
        </w:tc>
        <w:tc>
          <w:tcPr>
            <w:tcW w:w="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4" w:lineRule="exact"/>
              <w:rPr>
                <w:sz w:val="20"/>
                <w:szCs w:val="20"/>
                <w:color w:val="auto"/>
              </w:rPr>
            </w:pPr>
            <w:r>
              <w:rPr>
                <w:rFonts w:ascii="Times New Roman" w:cs="Times New Roman" w:eastAsia="Times New Roman" w:hAnsi="Times New Roman"/>
                <w:sz w:val="18"/>
                <w:szCs w:val="18"/>
                <w:color w:val="auto"/>
              </w:rPr>
              <w:t>79,74</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4" w:lineRule="exact"/>
              <w:rPr>
                <w:sz w:val="20"/>
                <w:szCs w:val="20"/>
                <w:color w:val="auto"/>
              </w:rPr>
            </w:pPr>
            <w:r>
              <w:rPr>
                <w:rFonts w:ascii="Times New Roman" w:cs="Times New Roman" w:eastAsia="Times New Roman" w:hAnsi="Times New Roman"/>
                <w:sz w:val="18"/>
                <w:szCs w:val="18"/>
                <w:color w:val="auto"/>
              </w:rPr>
              <w:t>212,9</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4" w:lineRule="exact"/>
              <w:rPr>
                <w:sz w:val="20"/>
                <w:szCs w:val="20"/>
                <w:color w:val="auto"/>
              </w:rPr>
            </w:pPr>
            <w:r>
              <w:rPr>
                <w:rFonts w:ascii="Times New Roman" w:cs="Times New Roman" w:eastAsia="Times New Roman" w:hAnsi="Times New Roman"/>
                <w:sz w:val="18"/>
                <w:szCs w:val="18"/>
                <w:color w:val="auto"/>
              </w:rPr>
              <w:t>293,11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356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37,541</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375</w:t>
            </w:r>
          </w:p>
        </w:tc>
        <w:tc>
          <w:tcPr>
            <w:tcW w:w="24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auto"/>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Repurchase of treasury stock</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(2,748 )</w:t>
            </w:r>
          </w:p>
        </w:tc>
        <w:tc>
          <w:tcPr>
            <w:tcW w:w="10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(2,748 )</w:t>
            </w:r>
          </w:p>
        </w:tc>
        <w:tc>
          <w:tcPr>
            <w:tcW w:w="0" w:type="dxa"/>
            <w:vAlign w:val="bottom"/>
          </w:tcPr>
          <w:p>
            <w:pPr>
              <w:spacing w:after="0"/>
              <w:rPr>
                <w:sz w:val="1"/>
                <w:szCs w:val="1"/>
                <w:color w:val="auto"/>
              </w:rPr>
            </w:pPr>
          </w:p>
        </w:tc>
      </w:tr>
      <w:tr>
        <w:trPr>
          <w:trHeight w:val="247"/>
        </w:trPr>
        <w:tc>
          <w:tcPr>
            <w:tcW w:w="3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(529 )</w:t>
            </w:r>
          </w:p>
        </w:tc>
        <w:tc>
          <w:tcPr>
            <w:tcW w:w="30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(5 )</w:t>
            </w:r>
          </w:p>
        </w:tc>
        <w:tc>
          <w:tcPr>
            <w:tcW w:w="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(529 )</w:t>
            </w:r>
          </w:p>
        </w:tc>
        <w:tc>
          <w:tcPr>
            <w:tcW w:w="12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8"/>
              </w:rPr>
              <w:t>(1,128 )</w:t>
            </w:r>
          </w:p>
        </w:tc>
        <w:tc>
          <w:tcPr>
            <w:tcW w:w="1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4"/>
              </w:rPr>
              <w:t>(1,615 )</w:t>
            </w:r>
          </w:p>
        </w:tc>
        <w:tc>
          <w:tcPr>
            <w:tcW w:w="12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0"/>
                <w:szCs w:val="20"/>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3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 of withholdings on</w:t>
            </w: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restricted stock units</w:t>
            </w: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8"/>
              </w:rPr>
              <w:t>(1,557 )</w:t>
            </w:r>
          </w:p>
        </w:tc>
        <w:tc>
          <w:tcPr>
            <w:tcW w:w="1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(1,557 )</w:t>
            </w:r>
          </w:p>
        </w:tc>
        <w:tc>
          <w:tcPr>
            <w:tcW w:w="0" w:type="dxa"/>
            <w:vAlign w:val="bottom"/>
          </w:tcPr>
          <w:p>
            <w:pPr>
              <w:spacing w:after="0"/>
              <w:rPr>
                <w:sz w:val="1"/>
                <w:szCs w:val="1"/>
                <w:color w:val="auto"/>
              </w:rPr>
            </w:pPr>
          </w:p>
        </w:tc>
      </w:tr>
      <w:tr>
        <w:trPr>
          <w:trHeight w:val="211"/>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Issuance of common stock for</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per employee stock purchase</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plan</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 based compensation</w:t>
            </w: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(18,92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56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11"/>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July 29, 2023</w:t>
            </w:r>
          </w:p>
        </w:tc>
        <w:tc>
          <w:tcPr>
            <w:tcW w:w="7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79,88</w:t>
            </w:r>
          </w:p>
        </w:tc>
        <w:tc>
          <w:tcPr>
            <w:tcW w:w="2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3560" w:type="dxa"/>
            <w:vAlign w:val="bottom"/>
            <w:shd w:val="clear" w:color="auto" w:fill="CFF0FC"/>
          </w:tcPr>
          <w:p>
            <w:pPr>
              <w:spacing w:after="0"/>
              <w:rPr>
                <w:sz w:val="24"/>
                <w:szCs w:val="2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37,381</w:t>
            </w:r>
          </w:p>
        </w:tc>
        <w:tc>
          <w:tcPr>
            <w:tcW w:w="240" w:type="dxa"/>
            <w:vAlign w:val="bottom"/>
            <w:shd w:val="clear" w:color="auto" w:fill="CFF0FC"/>
          </w:tcPr>
          <w:p>
            <w:pPr>
              <w:spacing w:after="0"/>
              <w:rPr>
                <w:sz w:val="24"/>
                <w:szCs w:val="24"/>
                <w:color w:val="auto"/>
              </w:rPr>
            </w:pPr>
          </w:p>
        </w:tc>
        <w:tc>
          <w:tcPr>
            <w:tcW w:w="30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374</w:t>
            </w:r>
          </w:p>
        </w:tc>
        <w:tc>
          <w:tcPr>
            <w:tcW w:w="240" w:type="dxa"/>
            <w:vAlign w:val="bottom"/>
            <w:shd w:val="clear" w:color="auto" w:fill="CFF0FC"/>
          </w:tcPr>
          <w:p>
            <w:pPr>
              <w:spacing w:after="0"/>
              <w:rPr>
                <w:sz w:val="24"/>
                <w:szCs w:val="24"/>
                <w:color w:val="auto"/>
              </w:rPr>
            </w:pPr>
          </w:p>
        </w:tc>
        <w:tc>
          <w:tcPr>
            <w:tcW w:w="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4"/>
                <w:szCs w:val="24"/>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FF0FC"/>
          </w:tcPr>
          <w:p>
            <w:pPr>
              <w:spacing w:after="0"/>
              <w:rPr>
                <w:sz w:val="24"/>
                <w:szCs w:val="24"/>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shd w:val="clear" w:color="auto" w:fill="CFF0FC"/>
          </w:tcPr>
          <w:p>
            <w:pPr>
              <w:spacing w:after="0"/>
              <w:rPr>
                <w:sz w:val="24"/>
                <w:szCs w:val="24"/>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56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Balance at February 3, 2024</w:t>
            </w:r>
          </w:p>
        </w:tc>
        <w:tc>
          <w:tcPr>
            <w:tcW w:w="7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56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81,79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182,3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264,55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5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37,529</w:t>
            </w:r>
          </w:p>
        </w:tc>
        <w:tc>
          <w:tcPr>
            <w:tcW w:w="240" w:type="dxa"/>
            <w:vAlign w:val="bottom"/>
          </w:tcPr>
          <w:p>
            <w:pPr>
              <w:spacing w:after="0"/>
              <w:rPr>
                <w:sz w:val="20"/>
                <w:szCs w:val="20"/>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375</w:t>
            </w:r>
          </w:p>
        </w:tc>
        <w:tc>
          <w:tcPr>
            <w:tcW w:w="240" w:type="dxa"/>
            <w:vAlign w:val="bottom"/>
          </w:tcPr>
          <w:p>
            <w:pPr>
              <w:spacing w:after="0"/>
              <w:rPr>
                <w:sz w:val="20"/>
                <w:szCs w:val="20"/>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gridSpan w:val="2"/>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of withholdings on</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stock units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(47 )</w:t>
            </w:r>
          </w:p>
        </w:tc>
        <w:tc>
          <w:tcPr>
            <w:tcW w:w="300" w:type="dxa"/>
            <w:vAlign w:val="bottom"/>
          </w:tcPr>
          <w:p>
            <w:pPr>
              <w:spacing w:after="0"/>
              <w:rPr>
                <w:sz w:val="20"/>
                <w:szCs w:val="20"/>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(1 )</w:t>
            </w:r>
          </w:p>
        </w:tc>
        <w:tc>
          <w:tcPr>
            <w:tcW w:w="7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(148 )</w:t>
            </w:r>
          </w:p>
        </w:tc>
        <w:tc>
          <w:tcPr>
            <w:tcW w:w="14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(149 )</w:t>
            </w:r>
          </w:p>
        </w:tc>
        <w:tc>
          <w:tcPr>
            <w:tcW w:w="0" w:type="dxa"/>
            <w:vAlign w:val="bottom"/>
          </w:tcPr>
          <w:p>
            <w:pPr>
              <w:spacing w:after="0"/>
              <w:rPr>
                <w:sz w:val="1"/>
                <w:szCs w:val="1"/>
                <w:color w:val="auto"/>
              </w:rPr>
            </w:pPr>
          </w:p>
        </w:tc>
      </w:tr>
      <w:tr>
        <w:trPr>
          <w:trHeight w:val="218"/>
        </w:trPr>
        <w:tc>
          <w:tcPr>
            <w:tcW w:w="3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Issuance of common stock for</w:t>
            </w: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per employee stock purchase</w:t>
            </w: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plan</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21"/>
                <w:szCs w:val="21"/>
                <w:color w:val="auto"/>
              </w:rPr>
            </w:pPr>
          </w:p>
        </w:tc>
        <w:tc>
          <w:tcPr>
            <w:tcW w:w="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based compensation</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(23,97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5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11"/>
        </w:trPr>
        <w:tc>
          <w:tcPr>
            <w:tcW w:w="35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at August 3, 2024</w:t>
            </w:r>
          </w:p>
        </w:tc>
        <w:tc>
          <w:tcPr>
            <w:tcW w:w="7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84,24</w:t>
            </w:r>
          </w:p>
        </w:tc>
        <w:tc>
          <w:tcPr>
            <w:tcW w:w="20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5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37,848</w:t>
            </w:r>
          </w:p>
        </w:tc>
        <w:tc>
          <w:tcPr>
            <w:tcW w:w="240" w:type="dxa"/>
            <w:vAlign w:val="bottom"/>
          </w:tcPr>
          <w:p>
            <w:pPr>
              <w:spacing w:after="0"/>
              <w:rPr>
                <w:sz w:val="20"/>
                <w:szCs w:val="20"/>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378</w:t>
            </w:r>
          </w:p>
        </w:tc>
        <w:tc>
          <w:tcPr>
            <w:tcW w:w="240" w:type="dxa"/>
            <w:vAlign w:val="bottom"/>
          </w:tcPr>
          <w:p>
            <w:pPr>
              <w:spacing w:after="0"/>
              <w:rPr>
                <w:sz w:val="20"/>
                <w:szCs w:val="20"/>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gridSpan w:val="2"/>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2701925</wp:posOffset>
            </wp:positionH>
            <wp:positionV relativeFrom="paragraph">
              <wp:posOffset>-4100830</wp:posOffset>
            </wp:positionV>
            <wp:extent cx="768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2701925</wp:posOffset>
            </wp:positionH>
            <wp:positionV relativeFrom="paragraph">
              <wp:posOffset>-4083685</wp:posOffset>
            </wp:positionV>
            <wp:extent cx="768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-4100830</wp:posOffset>
            </wp:positionV>
            <wp:extent cx="768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-4083685</wp:posOffset>
            </wp:positionV>
            <wp:extent cx="768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-4100830</wp:posOffset>
            </wp:positionV>
            <wp:extent cx="76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-4083685</wp:posOffset>
            </wp:positionV>
            <wp:extent cx="768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-4100830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-4083685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-4100830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-4083685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-4100830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-4083685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-4100830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-4083685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-4100830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-4083685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-4100830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-4083685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2701925</wp:posOffset>
            </wp:positionH>
            <wp:positionV relativeFrom="paragraph">
              <wp:posOffset>-2148840</wp:posOffset>
            </wp:positionV>
            <wp:extent cx="768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2701925</wp:posOffset>
            </wp:positionH>
            <wp:positionV relativeFrom="paragraph">
              <wp:posOffset>-2131695</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-2148840</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-2131695</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-2131695</wp:posOffset>
            </wp:positionV>
            <wp:extent cx="768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-2148840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-2131695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-2148840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-2131695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-2148840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-2131695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-2148840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-2131695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-2148840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-2131695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-2148840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-2131695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2701925</wp:posOffset>
            </wp:positionH>
            <wp:positionV relativeFrom="paragraph">
              <wp:posOffset>-324485</wp:posOffset>
            </wp:positionV>
            <wp:extent cx="768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-324485</wp:posOffset>
            </wp:positionV>
            <wp:extent cx="768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-324485</wp:posOffset>
            </wp:positionV>
            <wp:extent cx="768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-324485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-324485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-324485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-324485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-324485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-324485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SPORTSMAN'S WAREHOUSE HOLDINGS,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7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8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58"/>
        </w:trPr>
        <w:tc>
          <w:tcPr>
            <w:tcW w:w="79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jc w:val="right"/>
              <w:ind w:right="660"/>
              <w:spacing w:after="0" w:line="157"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2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371"/>
              <w:spacing w:after="0" w:line="157" w:lineRule="exact"/>
              <w:rPr>
                <w:sz w:val="20"/>
                <w:szCs w:val="20"/>
                <w:color w:val="auto"/>
              </w:rPr>
            </w:pPr>
            <w:r>
              <w:rPr>
                <w:rFonts w:ascii="Times New Roman" w:cs="Times New Roman" w:eastAsia="Times New Roman" w:hAnsi="Times New Roman"/>
                <w:sz w:val="14"/>
                <w:szCs w:val="14"/>
                <w:b w:val="1"/>
                <w:bCs w:val="1"/>
                <w:color w:val="auto"/>
              </w:rPr>
              <w:t>July 29,</w:t>
            </w:r>
          </w:p>
        </w:tc>
        <w:tc>
          <w:tcPr>
            <w:tcW w:w="100" w:type="dxa"/>
            <w:vAlign w:val="bottom"/>
          </w:tcPr>
          <w:p>
            <w:pPr>
              <w:spacing w:after="0"/>
              <w:rPr>
                <w:sz w:val="13"/>
                <w:szCs w:val="13"/>
                <w:color w:val="auto"/>
              </w:rPr>
            </w:pPr>
          </w:p>
        </w:tc>
      </w:tr>
      <w:tr>
        <w:trPr>
          <w:trHeight w:val="187"/>
        </w:trPr>
        <w:tc>
          <w:tcPr>
            <w:tcW w:w="7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7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(23,972 )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(18,927 )</w:t>
            </w:r>
          </w:p>
        </w:tc>
      </w:tr>
      <w:tr>
        <w:trPr>
          <w:trHeight w:val="247"/>
        </w:trPr>
        <w:tc>
          <w:tcPr>
            <w:tcW w:w="7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17,719</w:t>
            </w:r>
          </w:p>
        </w:tc>
        <w:tc>
          <w:tcPr>
            <w:tcW w:w="100" w:type="dxa"/>
            <w:vAlign w:val="bottom"/>
          </w:tcPr>
          <w:p>
            <w:pPr>
              <w:spacing w:after="0"/>
              <w:rPr>
                <w:sz w:val="20"/>
                <w:szCs w:val="20"/>
                <w:color w:val="auto"/>
              </w:rPr>
            </w:pPr>
          </w:p>
        </w:tc>
      </w:tr>
      <w:tr>
        <w:trPr>
          <w:trHeight w:val="247"/>
        </w:trPr>
        <w:tc>
          <w:tcPr>
            <w:tcW w:w="79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Amortization of discount on debt and deferred financing fees</w:t>
            </w: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FF0FC"/>
          </w:tcPr>
          <w:p>
            <w:pPr>
              <w:spacing w:after="0"/>
              <w:rPr>
                <w:sz w:val="21"/>
                <w:szCs w:val="21"/>
                <w:color w:val="auto"/>
              </w:rPr>
            </w:pPr>
          </w:p>
        </w:tc>
      </w:tr>
      <w:tr>
        <w:trPr>
          <w:trHeight w:val="238"/>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definite lived intangible</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r>
      <w:tr>
        <w:trPr>
          <w:trHeight w:val="247"/>
        </w:trPr>
        <w:tc>
          <w:tcPr>
            <w:tcW w:w="79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Loss on asset dispositions</w:t>
            </w: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lease expense</w:t>
            </w:r>
          </w:p>
        </w:tc>
        <w:tc>
          <w:tcPr>
            <w:tcW w:w="26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(3,027 )</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12,615</w:t>
            </w:r>
          </w:p>
        </w:tc>
        <w:tc>
          <w:tcPr>
            <w:tcW w:w="100" w:type="dxa"/>
            <w:vAlign w:val="bottom"/>
          </w:tcPr>
          <w:p>
            <w:pPr>
              <w:spacing w:after="0"/>
              <w:rPr>
                <w:sz w:val="20"/>
                <w:szCs w:val="20"/>
                <w:color w:val="auto"/>
              </w:rPr>
            </w:pPr>
          </w:p>
        </w:tc>
      </w:tr>
      <w:tr>
        <w:trPr>
          <w:trHeight w:val="247"/>
        </w:trPr>
        <w:tc>
          <w:tcPr>
            <w:tcW w:w="79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(7,533 )</w:t>
            </w:r>
          </w:p>
        </w:tc>
        <w:tc>
          <w:tcPr>
            <w:tcW w:w="2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(2,393 )</w:t>
            </w:r>
          </w:p>
        </w:tc>
      </w:tr>
      <w:tr>
        <w:trPr>
          <w:trHeight w:val="238"/>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100" w:type="dxa"/>
            <w:vAlign w:val="bottom"/>
          </w:tcPr>
          <w:p>
            <w:pPr>
              <w:spacing w:after="0"/>
              <w:rPr>
                <w:sz w:val="20"/>
                <w:szCs w:val="20"/>
                <w:color w:val="auto"/>
              </w:rPr>
            </w:pPr>
          </w:p>
        </w:tc>
      </w:tr>
      <w:tr>
        <w:trPr>
          <w:trHeight w:val="247"/>
        </w:trPr>
        <w:tc>
          <w:tcPr>
            <w:tcW w:w="79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Change in operating assets and liabilities, net of amounts acquired:</w:t>
            </w: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(176 )</w:t>
            </w:r>
          </w:p>
        </w:tc>
        <w:tc>
          <w:tcPr>
            <w:tcW w:w="28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(720 )</w:t>
            </w:r>
          </w:p>
        </w:tc>
      </w:tr>
      <w:tr>
        <w:trPr>
          <w:trHeight w:val="247"/>
        </w:trPr>
        <w:tc>
          <w:tcPr>
            <w:tcW w:w="79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(200 )</w:t>
            </w:r>
          </w:p>
        </w:tc>
        <w:tc>
          <w:tcPr>
            <w:tcW w:w="2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(5,330 )</w:t>
            </w:r>
          </w:p>
        </w:tc>
      </w:tr>
      <w:tr>
        <w:trPr>
          <w:trHeight w:val="238"/>
        </w:trPr>
        <w:tc>
          <w:tcPr>
            <w:tcW w:w="7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Merchandise inventories</w:t>
            </w:r>
          </w:p>
        </w:tc>
        <w:tc>
          <w:tcPr>
            <w:tcW w:w="26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(8,725 )</w:t>
            </w:r>
          </w:p>
        </w:tc>
        <w:tc>
          <w:tcPr>
            <w:tcW w:w="28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(58,032 )</w:t>
            </w:r>
          </w:p>
        </w:tc>
      </w:tr>
      <w:tr>
        <w:trPr>
          <w:trHeight w:val="247"/>
        </w:trPr>
        <w:tc>
          <w:tcPr>
            <w:tcW w:w="79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(4,368 )</w:t>
            </w:r>
          </w:p>
        </w:tc>
      </w:tr>
      <w:tr>
        <w:trPr>
          <w:trHeight w:val="238"/>
        </w:trPr>
        <w:tc>
          <w:tcPr>
            <w:tcW w:w="7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(1,367 )</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11,832</w:t>
            </w:r>
          </w:p>
        </w:tc>
        <w:tc>
          <w:tcPr>
            <w:tcW w:w="100" w:type="dxa"/>
            <w:vAlign w:val="bottom"/>
          </w:tcPr>
          <w:p>
            <w:pPr>
              <w:spacing w:after="0"/>
              <w:rPr>
                <w:sz w:val="20"/>
                <w:szCs w:val="20"/>
                <w:color w:val="auto"/>
              </w:rPr>
            </w:pPr>
          </w:p>
        </w:tc>
      </w:tr>
      <w:tr>
        <w:trPr>
          <w:trHeight w:val="247"/>
        </w:trPr>
        <w:tc>
          <w:tcPr>
            <w:tcW w:w="79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(7,028 )</w:t>
            </w:r>
          </w:p>
        </w:tc>
      </w:tr>
      <w:tr>
        <w:trPr>
          <w:trHeight w:val="238"/>
        </w:trPr>
        <w:tc>
          <w:tcPr>
            <w:tcW w:w="7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Income taxes payable and receivable</w:t>
            </w:r>
          </w:p>
        </w:tc>
        <w:tc>
          <w:tcPr>
            <w:tcW w:w="26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(148 )</w:t>
            </w:r>
          </w:p>
        </w:tc>
        <w:tc>
          <w:tcPr>
            <w:tcW w:w="28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(6,178 )</w:t>
            </w:r>
          </w:p>
        </w:tc>
      </w:tr>
      <w:tr>
        <w:trPr>
          <w:trHeight w:val="20"/>
        </w:trPr>
        <w:tc>
          <w:tcPr>
            <w:tcW w:w="79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96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(16,132 )</w:t>
            </w:r>
          </w:p>
        </w:tc>
        <w:tc>
          <w:tcPr>
            <w:tcW w:w="28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(58,328 )</w:t>
            </w:r>
          </w:p>
        </w:tc>
      </w:tr>
      <w:tr>
        <w:trPr>
          <w:trHeight w:val="236"/>
        </w:trPr>
        <w:tc>
          <w:tcPr>
            <w:tcW w:w="79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7"/>
        </w:trPr>
        <w:tc>
          <w:tcPr>
            <w:tcW w:w="7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 net of amounts acquired</w:t>
            </w:r>
          </w:p>
        </w:tc>
        <w:tc>
          <w:tcPr>
            <w:tcW w:w="2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(7,686 )</w:t>
            </w:r>
          </w:p>
        </w:tc>
        <w:tc>
          <w:tcPr>
            <w:tcW w:w="2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(51,971 )</w:t>
            </w:r>
          </w:p>
        </w:tc>
      </w:tr>
      <w:tr>
        <w:trPr>
          <w:trHeight w:val="238"/>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36"/>
        </w:trPr>
        <w:tc>
          <w:tcPr>
            <w:tcW w:w="79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(7,631 )</w:t>
            </w:r>
          </w:p>
        </w:tc>
        <w:tc>
          <w:tcPr>
            <w:tcW w:w="28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(51,971 )</w:t>
            </w:r>
          </w:p>
        </w:tc>
      </w:tr>
      <w:tr>
        <w:trPr>
          <w:trHeight w:val="236"/>
        </w:trPr>
        <w:tc>
          <w:tcPr>
            <w:tcW w:w="79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7"/>
        </w:trPr>
        <w:tc>
          <w:tcPr>
            <w:tcW w:w="7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borrowings on line of credit</w:t>
            </w: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5,011</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115,556</w:t>
            </w:r>
          </w:p>
        </w:tc>
        <w:tc>
          <w:tcPr>
            <w:tcW w:w="100" w:type="dxa"/>
            <w:vAlign w:val="bottom"/>
            <w:shd w:val="clear" w:color="auto" w:fill="CFF0FC"/>
          </w:tcPr>
          <w:p>
            <w:pPr>
              <w:spacing w:after="0"/>
              <w:rPr>
                <w:sz w:val="21"/>
                <w:szCs w:val="21"/>
                <w:color w:val="auto"/>
              </w:rPr>
            </w:pPr>
          </w:p>
        </w:tc>
      </w:tr>
      <w:tr>
        <w:trPr>
          <w:trHeight w:val="238"/>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Borrowings on term loan</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Decrease in book overdraft</w:t>
            </w:r>
          </w:p>
        </w:tc>
        <w:tc>
          <w:tcPr>
            <w:tcW w:w="2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(5,917 )</w:t>
            </w:r>
          </w:p>
        </w:tc>
        <w:tc>
          <w:tcPr>
            <w:tcW w:w="2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(904 )</w:t>
            </w:r>
          </w:p>
        </w:tc>
      </w:tr>
      <w:tr>
        <w:trPr>
          <w:trHeight w:val="238"/>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per employee stock purchase plan</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20"/>
                <w:szCs w:val="20"/>
                <w:color w:val="auto"/>
              </w:rPr>
            </w:pPr>
          </w:p>
        </w:tc>
      </w:tr>
      <w:tr>
        <w:trPr>
          <w:trHeight w:val="247"/>
        </w:trPr>
        <w:tc>
          <w:tcPr>
            <w:tcW w:w="7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Payments to acquire treasury stock</w:t>
            </w:r>
          </w:p>
        </w:tc>
        <w:tc>
          <w:tcPr>
            <w:tcW w:w="2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(2,748 )</w:t>
            </w:r>
          </w:p>
        </w:tc>
      </w:tr>
      <w:tr>
        <w:trPr>
          <w:trHeight w:val="238"/>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withholdings on restricted stock units</w:t>
            </w:r>
          </w:p>
        </w:tc>
        <w:tc>
          <w:tcPr>
            <w:tcW w:w="26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(148 )</w:t>
            </w:r>
          </w:p>
        </w:tc>
        <w:tc>
          <w:tcPr>
            <w:tcW w:w="28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(1,557 )</w:t>
            </w:r>
          </w:p>
        </w:tc>
      </w:tr>
      <w:tr>
        <w:trPr>
          <w:trHeight w:val="243"/>
        </w:trPr>
        <w:tc>
          <w:tcPr>
            <w:tcW w:w="7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Payment of deferred financing costs and discount on term loan</w:t>
            </w:r>
          </w:p>
        </w:tc>
        <w:tc>
          <w:tcPr>
            <w:tcW w:w="2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(972 )</w:t>
            </w:r>
          </w:p>
        </w:tc>
        <w:tc>
          <w:tcPr>
            <w:tcW w:w="2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960" w:type="dxa"/>
            <w:vAlign w:val="bottom"/>
            <w:tcBorders>
              <w:top w:val="single" w:sz="8" w:color="CFF0FC"/>
            </w:tcBorders>
          </w:tcPr>
          <w:p>
            <w:pPr>
              <w:ind w:left="3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23,182</w:t>
            </w:r>
          </w:p>
        </w:tc>
        <w:tc>
          <w:tcPr>
            <w:tcW w:w="22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110,803</w:t>
            </w:r>
          </w:p>
        </w:tc>
        <w:tc>
          <w:tcPr>
            <w:tcW w:w="100" w:type="dxa"/>
            <w:vAlign w:val="bottom"/>
            <w:tcBorders>
              <w:top w:val="single" w:sz="8" w:color="CFF0FC"/>
            </w:tcBorders>
          </w:tcPr>
          <w:p>
            <w:pPr>
              <w:spacing w:after="0"/>
              <w:rPr>
                <w:sz w:val="20"/>
                <w:szCs w:val="20"/>
                <w:color w:val="auto"/>
              </w:rPr>
            </w:pPr>
          </w:p>
        </w:tc>
      </w:tr>
      <w:tr>
        <w:trPr>
          <w:trHeight w:val="236"/>
        </w:trPr>
        <w:tc>
          <w:tcPr>
            <w:tcW w:w="7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6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(581 )</w:t>
            </w: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shd w:val="clear" w:color="auto" w:fill="CFF0FC"/>
          </w:tcPr>
          <w:p>
            <w:pPr>
              <w:spacing w:after="0"/>
              <w:rPr>
                <w:sz w:val="20"/>
                <w:szCs w:val="20"/>
                <w:color w:val="auto"/>
              </w:rPr>
            </w:pPr>
          </w:p>
        </w:tc>
      </w:tr>
      <w:tr>
        <w:trPr>
          <w:trHeight w:val="236"/>
        </w:trPr>
        <w:tc>
          <w:tcPr>
            <w:tcW w:w="79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22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100" w:type="dxa"/>
            <w:vAlign w:val="bottom"/>
            <w:tcBorders>
              <w:top w:val="single" w:sz="8" w:color="CFF0FC"/>
            </w:tcBorders>
          </w:tcPr>
          <w:p>
            <w:pPr>
              <w:spacing w:after="0"/>
              <w:rPr>
                <w:sz w:val="20"/>
                <w:szCs w:val="20"/>
                <w:color w:val="auto"/>
              </w:rPr>
            </w:pPr>
          </w:p>
        </w:tc>
      </w:tr>
      <w:tr>
        <w:trPr>
          <w:trHeight w:val="276"/>
        </w:trPr>
        <w:tc>
          <w:tcPr>
            <w:tcW w:w="7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2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63"/>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9"/>
        </w:trPr>
        <w:tc>
          <w:tcPr>
            <w:tcW w:w="7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net of amounts capitalized</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5,952</w:t>
            </w:r>
          </w:p>
        </w:tc>
        <w:tc>
          <w:tcPr>
            <w:tcW w:w="2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100" w:type="dxa"/>
            <w:vAlign w:val="bottom"/>
          </w:tcPr>
          <w:p>
            <w:pPr>
              <w:spacing w:after="0"/>
              <w:rPr>
                <w:sz w:val="20"/>
                <w:szCs w:val="20"/>
                <w:color w:val="auto"/>
              </w:rPr>
            </w:pPr>
          </w:p>
        </w:tc>
      </w:tr>
      <w:tr>
        <w:trPr>
          <w:trHeight w:val="247"/>
        </w:trPr>
        <w:tc>
          <w:tcPr>
            <w:tcW w:w="7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100" w:type="dxa"/>
            <w:vAlign w:val="bottom"/>
            <w:shd w:val="clear" w:color="auto" w:fill="CFF0FC"/>
          </w:tcPr>
          <w:p>
            <w:pPr>
              <w:spacing w:after="0"/>
              <w:rPr>
                <w:sz w:val="21"/>
                <w:szCs w:val="21"/>
                <w:color w:val="auto"/>
              </w:rPr>
            </w:pPr>
          </w:p>
        </w:tc>
      </w:tr>
      <w:tr>
        <w:trPr>
          <w:trHeight w:val="479"/>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schedule of noncash activities:</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7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Noncash change in operating lease right of use asset and operating lease liabilities from remeasurement</w:t>
            </w: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of existing leases and addition of new leases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12,681</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46,081</w:t>
            </w:r>
          </w:p>
        </w:tc>
        <w:tc>
          <w:tcPr>
            <w:tcW w:w="100" w:type="dxa"/>
            <w:vAlign w:val="bottom"/>
            <w:shd w:val="clear" w:color="auto" w:fill="CFF0FC"/>
          </w:tcPr>
          <w:p>
            <w:pPr>
              <w:spacing w:after="0"/>
              <w:rPr>
                <w:sz w:val="21"/>
                <w:szCs w:val="21"/>
                <w:color w:val="auto"/>
              </w:rPr>
            </w:pPr>
          </w:p>
        </w:tc>
      </w:tr>
      <w:tr>
        <w:trPr>
          <w:trHeight w:val="234"/>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 and accrued expenses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2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9,601</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6024245</wp:posOffset>
            </wp:positionH>
            <wp:positionV relativeFrom="paragraph">
              <wp:posOffset>-4069715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-4069715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-3435985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-3435985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-2194560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-2194560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-1868805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-1868805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-1543685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-1526540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-1543685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-1526540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180"/>
          </w:cols>
          <w:pgMar w:left="320" w:top="768" w:right="399" w:bottom="772"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498475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8" w:right="399" w:bottom="772"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SPORTSMAN’S WAREHOUSE HOLDINGS, INC.</w:t>
      </w:r>
    </w:p>
    <w:p>
      <w:pPr>
        <w:spacing w:after="0" w:line="11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130"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(unaudited)</w:t>
      </w:r>
    </w:p>
    <w:p>
      <w:pPr>
        <w:spacing w:after="0" w:line="310" w:lineRule="exact"/>
        <w:rPr>
          <w:sz w:val="20"/>
          <w:szCs w:val="20"/>
          <w:color w:val="auto"/>
        </w:rPr>
      </w:pPr>
    </w:p>
    <w:p>
      <w:pPr>
        <w:ind w:right="7200" w:firstLine="8"/>
        <w:spacing w:after="0" w:line="377" w:lineRule="auto"/>
        <w:tabs>
          <w:tab w:leader="none" w:pos="254"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and Basis of Presentation Description of Business</w:t>
      </w:r>
    </w:p>
    <w:p>
      <w:pPr>
        <w:spacing w:after="0" w:line="1" w:lineRule="exact"/>
        <w:rPr>
          <w:sz w:val="20"/>
          <w:szCs w:val="20"/>
          <w:color w:val="auto"/>
        </w:rPr>
      </w:pPr>
    </w:p>
    <w:p>
      <w:pPr>
        <w:ind w:right="400"/>
        <w:spacing w:after="0" w:line="265" w:lineRule="auto"/>
        <w:rPr>
          <w:sz w:val="20"/>
          <w:szCs w:val="20"/>
          <w:color w:val="auto"/>
        </w:rPr>
      </w:pPr>
      <w:r>
        <w:rPr>
          <w:rFonts w:ascii="Times New Roman" w:cs="Times New Roman" w:eastAsia="Times New Roman" w:hAnsi="Times New Roman"/>
          <w:sz w:val="18"/>
          <w:szCs w:val="18"/>
          <w:color w:val="auto"/>
        </w:rPr>
        <w:t>Sportsman’s Warehouse Holdings, Inc., a Delaware corporation (“Holdings”), and its subsidiaries (collectively, the “Company”) operate retail sporting goods stores. As of August 3, 2024, the Company operated 146 stores in 32 states. The Company also operates an e-commerce platform at www.sportsmans.com. The Company’s stores and website are aggregated into one operating and reportable segment.</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are unaudited and have been prepared by management of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(“GAAP”) have been condensed or omitted pursuant to such rules and regulations. The Company’s condensed consolidated balance sheet as of February 3, 2024 was derived from the Company’s audited consolidated balance sheet as of that date. All other condensed consolidated financial statements contained herein are unaudited and reflect all adjustments that are, in the opinion of management, necessary to summarize fairly the Company's condensed consolidated financial statements for the periods presented. All of these adjustments are of a normal recurring nature. The results of the fiscal quarter ended August 3, 2024 are not necessarily indicative of the results to be obtained for the fiscal year ending February 1, 2025. These condensed consolidated financial statements should be read in conjunction with the Company’s audited consolidated financial statements and notes thereto included in the Company’s Annual Report on Form 10-K for the fiscal year ended February 3, 2024 filed with the SEC on April 4, 2024 (the “Fiscal 2023 Form 10-K”).</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34" w:lineRule="exact"/>
        <w:rPr>
          <w:sz w:val="20"/>
          <w:szCs w:val="20"/>
          <w:color w:val="auto"/>
        </w:rPr>
      </w:pPr>
    </w:p>
    <w:p>
      <w:pPr>
        <w:ind w:right="820"/>
        <w:spacing w:after="0" w:line="281"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2 to the Fiscal 2023 Form 10-K. The Company has consistently applied the accounting policies to all periods presented in the condensed consolidated financial statements presented herein.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280)—Improvements to Reportable Segment Disclosures, which aims to improve reportable segment disclosure requirements, primarily through enhanced disclosures about significant segment expenses. In addition, the amendments in the ASU enhance interim disclosure requirements, clarify circumstances in which an entity can disclose multiple segment measures of profit or loss, provide new segment disclosure requirements for entities with a single reportable segment, and contain other disclosure requirements. The ASU applies to all public entities that are required to report segment information in accordance with ASC 280, and is effective for fiscal years beginning after December 15, 2023 and interim periods within fiscal years beginning after December 15, 2024, with early adoption permitted. The Company has not elected early adoption and will implement this ASU beginning with its the fiscal period ended February 1, 2025.</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740)—Improvements to Income Tax Disclosures, which include improvements to income tax disclosures by requiring (1) consistent categories and greater disaggregation of information in the rate reconciliation and (2) income taxes paid disaggregated by jurisdiction. This ASU also includes certain other amendments to better align disclosures with Regulation S-X and to remove disclosures no longer considered cost beneficial or relevant. This ASU is effective for public entities for annual periods beginning after December 15, 2024, with earlier or retrospective application permitted. The amendments in this ASU should be</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applied prospectively for annual financial statements not yet issued or made available for issuance. The Company is evaluating the future impact of the issuance of this ASU on its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accounting policy</w:t>
      </w:r>
    </w:p>
    <w:p>
      <w:pPr>
        <w:spacing w:after="0" w:line="119"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7"/>
          <w:szCs w:val="17"/>
          <w:color w:val="auto"/>
        </w:rPr>
        <w:t>The Company operates solely as an outdoor retailer, which includes both retail stores and an e-commerce platform, that offers a broad range of products in the United States and online. Generally, all revenues are recognized when control of the promised goods is transferred to customers, in an amount that reflects the consideration in exchange for those goods. Accordingly, the Company implicitly enters into a contract with customers to deliver merchandise inventory at the point of sale. Collectability is reasonably assured since the Company only extends immaterial credit for purchases to certain municipalities.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the Company’s revenue is for single performance obligations for the following distinct items:</w:t>
      </w:r>
    </w:p>
    <w:p>
      <w:pPr>
        <w:spacing w:after="0" w:line="117" w:lineRule="exact"/>
        <w:rPr>
          <w:sz w:val="20"/>
          <w:szCs w:val="20"/>
          <w:color w:val="auto"/>
        </w:rPr>
      </w:pPr>
    </w:p>
    <w:p>
      <w:pPr>
        <w:ind w:left="900" w:hanging="518"/>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store sales</w:t>
      </w:r>
    </w:p>
    <w:p>
      <w:pPr>
        <w:spacing w:after="0" w:line="116"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E-commerce sales</w:t>
      </w:r>
    </w:p>
    <w:p>
      <w:pPr>
        <w:spacing w:after="0" w:line="116"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Gift cards and loyalty rewards program</w:t>
      </w:r>
    </w:p>
    <w:p>
      <w:pPr>
        <w:spacing w:after="0" w:line="225"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For performance obligations related to retail store and e-commerce sales contracts, the Company typically transfers control, for retail stores, upon consummation of the sale when the product is paid for and taken by the customer and, for e-commerce sales, when the products are tendered for delivery to the common carrier.</w:t>
      </w:r>
    </w:p>
    <w:p>
      <w:pPr>
        <w:spacing w:after="0" w:line="17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transaction price for each contract is the stated price on the product, reduced by any stated discounts at that point in time. The Company does not engage in sales of products that attach a future material right which could result in a separate performance obligation for the purchase of goods in the future at a material discount. The implicit point-of-sale contract with the customer, as reflected in the transaction receipt, states the final terms of the sale, including the description, quantity, and price of each product purchased. Payment for the Company’s contracts is due in full upon delivery. The customer agrees to a stated price implicit in the contract that does not vary over the contract.</w:t>
      </w:r>
    </w:p>
    <w:p>
      <w:pPr>
        <w:spacing w:after="0" w:line="182"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The transaction price relative to sales subject to a right of return reflects the amount of estimated consideration to which the Company expects to be entitled. This amount of variable consideration included in the transaction price, and measurement of net sales, is included in net sales only to the extent that it is probable that there will be no significant reversal in a future period. Actual amounts of consideration ultimately received may differ from the Company’s estimates. The allowance for sales returns is estimated based upon historical experience and a provision for estimated returns is recorded as a reduction in sales in the relevant period. The estimated merchandise inventory cost related to the sales returns is recorded in prepaid expenses and other. The estimated refund liabilities are recorded in accrued expenses. If actual results in the future vary from the Company’s estimates, the Company adjusts these estimates, which would affect net sales and earnings in the period such variances become known.</w:t>
      </w:r>
    </w:p>
    <w:p>
      <w:pPr>
        <w:spacing w:after="0" w:line="187"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Contract liabilities are recognized primarily for gift card sales and the Company’s loyalty reward program. Cash received from the sale of gift cards is recorded as a contract liability in accrued expenses, and the Company recognizes revenue upon the customer’s redemption of the gift card. Gift card breakage is recognized as revenue in proportion to the pattern of customer redemptions by applying a historical breakage rate of 4.0% when no escheat liability to relevant jurisdictions exists. Based upon historical experience, gift cards are predominantly redeemed in the first two years following their issuance date. The Company does not sell or provide gift cards that carry expiration dates.</w:t>
      </w:r>
    </w:p>
    <w:p>
      <w:pPr>
        <w:spacing w:after="0" w:line="182" w:lineRule="exact"/>
        <w:rPr>
          <w:sz w:val="20"/>
          <w:szCs w:val="20"/>
          <w:color w:val="auto"/>
        </w:rPr>
      </w:pPr>
    </w:p>
    <w:p>
      <w:pPr>
        <w:jc w:val="both"/>
        <w:ind w:right="240"/>
        <w:spacing w:after="0" w:line="265" w:lineRule="auto"/>
        <w:rPr>
          <w:sz w:val="20"/>
          <w:szCs w:val="20"/>
          <w:color w:val="auto"/>
        </w:rPr>
      </w:pPr>
      <w:r>
        <w:rPr>
          <w:rFonts w:ascii="Times New Roman" w:cs="Times New Roman" w:eastAsia="Times New Roman" w:hAnsi="Times New Roman"/>
          <w:sz w:val="18"/>
          <w:szCs w:val="18"/>
          <w:color w:val="auto"/>
        </w:rPr>
        <w:t>Accounting Standards Codification (“ASC”) 606 requires the Company to allocate the transaction price between the goods and the loyalty reward points based on the relative standalone selling price. The Company recognizes revenue for the breakage of loyalty reward points as revenue in proportion to the pattern of customer redemption of the points by applying an estimated breakage rate of 35.0% using historical rates and future expectations.</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As it relates to e-commerce sales, the Company accounts for shipping and handling as fulfillment activities, and not as a separate performance obligation. Accordingly, the Company recognizes revenue for only one performance obligation, the sale of the product, at the shipping point (when the customer gains control). Revenue associated with shipping and handling is not material. The costs associated with fulfillment are recorded in costs of goods sold.</w:t>
      </w:r>
    </w:p>
    <w:p>
      <w:pPr>
        <w:spacing w:after="0" w:line="17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offers promotional financing and credit cards issued by a third-party bank that manages and directly extends credit to the Company’s customers. The Company provides a license to its brand and marketing services, and the Company facilitates credit applications in its stores and online. The banks are the sole owners of the accounts receivable generated under the program and, accordingly, the Company does not hold any customer receivables related to these programs and acts as an agent in the financing transactions with customers. The Company is eligible to receive a profit share from certain of its banking partners based on the annual performance of their corresponding portfolio, and the Company receives monthly payments based on forecasts of full-year performance. This is a form of variable consideration. The Company records such profit share as revenue over time using the most likely amount method, which reflects the amount earned each month when it is determined that the likelihood of a significant revenue reversal is not probable, which is typically monthly. Profit-share payments occur monthly, shortly after the end of each program month.</w:t>
      </w:r>
    </w:p>
    <w:p>
      <w:pPr>
        <w:spacing w:after="0" w:line="18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Taxes assessed by a governmental authority that are both imposed on and concurrent with a specific revenue-producing transaction, that are collected by the Company from a customer, are excluded from revenue.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returns</w:t>
      </w:r>
    </w:p>
    <w:p>
      <w:pPr>
        <w:spacing w:after="0" w:line="132"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The Company allows customers to return items purchased within 30 days provided the merchandise is in resaleable condition with original packaging and the original sales/gift receipt is presented. The Company estimates a reserve for sales returns and records the respective reserve amounts, including a right to return asset when a product is expected to be returned and resold. Historical experience of actual returns and customer return rights are the key factors used in determining the estimated sales returns.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information about right of return assets, contract liabilities, and sales return liabilities with customers as of August 3, 2024 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3, 2024:</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180" w:type="dxa"/>
            <w:vAlign w:val="bottom"/>
          </w:tcPr>
          <w:p>
            <w:pPr>
              <w:spacing w:after="0"/>
              <w:rPr>
                <w:sz w:val="16"/>
                <w:szCs w:val="16"/>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February 3, 2024</w:t>
            </w: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 of return assets, which are included in prepaid expenses and other</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28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gift card contract liability, net of breakage</w:t>
            </w:r>
          </w:p>
        </w:tc>
        <w:tc>
          <w:tcPr>
            <w:tcW w:w="22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(27,409 )</w:t>
            </w:r>
          </w:p>
        </w:tc>
        <w:tc>
          <w:tcPr>
            <w:tcW w:w="18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(30,541 )</w:t>
            </w: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Estimated loyalty contract liability, net of breakage</w:t>
            </w:r>
          </w:p>
        </w:tc>
        <w:tc>
          <w:tcPr>
            <w:tcW w:w="22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(3,735 )</w:t>
            </w:r>
          </w:p>
        </w:tc>
        <w:tc>
          <w:tcPr>
            <w:tcW w:w="1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(4,340 )</w:t>
            </w: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return liabilities, which are included in accrued expenses</w:t>
            </w:r>
          </w:p>
        </w:tc>
        <w:tc>
          <w:tcPr>
            <w:tcW w:w="22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(3,285 )</w:t>
            </w:r>
          </w:p>
        </w:tc>
        <w:tc>
          <w:tcPr>
            <w:tcW w:w="18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(2,476 )</w:t>
            </w:r>
          </w:p>
        </w:tc>
      </w:tr>
    </w:tbl>
    <w:p>
      <w:pPr>
        <w:spacing w:after="0" w:line="206"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During the 13 and 26 weeks ended August 3, 2024, the Company recognized approximately $375 and $782 in gift card breakage and approximately $1,385 and $1,823 in loyalty breakage, respectively. During the 13 and 26 weeks ended July 29, 2023, the Company recognized approximately $359 and $799 in gift card breakage and approximately $992 and $1,930 in loyalty breakage, respectively. During the 13 and 26 weeks ended August 3, 2024, the Company recognized revenue of $3,859 and $12,836, respectively, relating to contract liabilities that existed at February 3, 2024.</w:t>
      </w:r>
    </w:p>
    <w:p>
      <w:pPr>
        <w:spacing w:after="0" w:line="18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current balance of the right of return assets is the expected amount of inventory to be returned that is expected to be resold. The current balance of the contract liabilities primarily relates to the gift card and loyalty reward program liabilities. The Company expects the revenue associated with these liabilities to be recognized in proportion to the pattern of customer redemptions over the next two years. The current balance of sales return liabilities is the expected amount of sales returns from sales that have occurred.</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 from contracts with customers</w:t>
      </w:r>
    </w:p>
    <w:p>
      <w:pPr>
        <w:spacing w:after="0" w:line="119" w:lineRule="exact"/>
        <w:rPr>
          <w:sz w:val="20"/>
          <w:szCs w:val="20"/>
          <w:color w:val="auto"/>
        </w:rPr>
      </w:pPr>
    </w:p>
    <w:p>
      <w:pPr>
        <w:ind w:right="680"/>
        <w:spacing w:after="0" w:line="281" w:lineRule="auto"/>
        <w:rPr>
          <w:sz w:val="20"/>
          <w:szCs w:val="20"/>
          <w:color w:val="auto"/>
        </w:rPr>
      </w:pPr>
      <w:r>
        <w:rPr>
          <w:rFonts w:ascii="Times New Roman" w:cs="Times New Roman" w:eastAsia="Times New Roman" w:hAnsi="Times New Roman"/>
          <w:sz w:val="18"/>
          <w:szCs w:val="18"/>
          <w:color w:val="auto"/>
        </w:rPr>
        <w:t>In the following table, revenue from contracts with customers is disaggregated by department. The percentage of net sales related to the Company’s departments during the 13 and 26 weeks ended August 3, 2024 and July 29, 2023, was approximately: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6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68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58"/>
        </w:trPr>
        <w:tc>
          <w:tcPr>
            <w:tcW w:w="1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Borders>
              <w:top w:val="single" w:sz="8" w:color="auto"/>
            </w:tcBorders>
            <w:gridSpan w:val="3"/>
          </w:tcPr>
          <w:p>
            <w:pPr>
              <w:jc w:val="center"/>
              <w:ind w:right="240"/>
              <w:spacing w:after="0" w:line="157"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1140" w:type="dxa"/>
            <w:vAlign w:val="bottom"/>
            <w:tcBorders>
              <w:top w:val="single" w:sz="8" w:color="auto"/>
            </w:tcBorders>
          </w:tcPr>
          <w:p>
            <w:pPr>
              <w:jc w:val="right"/>
              <w:ind w:right="234"/>
              <w:spacing w:after="0" w:line="157" w:lineRule="exact"/>
              <w:rPr>
                <w:sz w:val="20"/>
                <w:szCs w:val="20"/>
                <w:color w:val="auto"/>
              </w:rPr>
            </w:pPr>
            <w:r>
              <w:rPr>
                <w:rFonts w:ascii="Times New Roman" w:cs="Times New Roman" w:eastAsia="Times New Roman" w:hAnsi="Times New Roman"/>
                <w:sz w:val="14"/>
                <w:szCs w:val="14"/>
                <w:b w:val="1"/>
                <w:bCs w:val="1"/>
                <w:color w:val="auto"/>
              </w:rPr>
              <w:t>July 29,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Borders>
              <w:top w:val="single" w:sz="8" w:color="auto"/>
            </w:tcBorders>
            <w:gridSpan w:val="3"/>
          </w:tcPr>
          <w:p>
            <w:pPr>
              <w:jc w:val="center"/>
              <w:ind w:right="220"/>
              <w:spacing w:after="0" w:line="157"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1160" w:type="dxa"/>
            <w:vAlign w:val="bottom"/>
            <w:tcBorders>
              <w:top w:val="single" w:sz="8" w:color="auto"/>
            </w:tcBorders>
          </w:tcPr>
          <w:p>
            <w:pPr>
              <w:jc w:val="right"/>
              <w:ind w:right="254"/>
              <w:spacing w:after="0" w:line="157" w:lineRule="exact"/>
              <w:rPr>
                <w:sz w:val="20"/>
                <w:szCs w:val="20"/>
                <w:color w:val="auto"/>
              </w:rPr>
            </w:pPr>
            <w:r>
              <w:rPr>
                <w:rFonts w:ascii="Times New Roman" w:cs="Times New Roman" w:eastAsia="Times New Roman" w:hAnsi="Times New Roman"/>
                <w:sz w:val="14"/>
                <w:szCs w:val="14"/>
                <w:b w:val="1"/>
                <w:bCs w:val="1"/>
                <w:color w:val="auto"/>
              </w:rPr>
              <w:t>July 29,</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Department</w:t>
            </w:r>
          </w:p>
        </w:tc>
        <w:tc>
          <w:tcPr>
            <w:tcW w:w="140" w:type="dxa"/>
            <w:vAlign w:val="bottom"/>
          </w:tcPr>
          <w:p>
            <w:pPr>
              <w:spacing w:after="0"/>
              <w:rPr>
                <w:sz w:val="16"/>
                <w:szCs w:val="16"/>
                <w:color w:val="auto"/>
              </w:rPr>
            </w:pPr>
          </w:p>
        </w:tc>
        <w:tc>
          <w:tcPr>
            <w:tcW w:w="39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4"/>
                <w:szCs w:val="14"/>
                <w:b w:val="1"/>
                <w:bCs w:val="1"/>
                <w:color w:val="auto"/>
              </w:rPr>
              <w:t>Product Offerings</w:t>
            </w:r>
          </w:p>
        </w:tc>
        <w:tc>
          <w:tcPr>
            <w:tcW w:w="120" w:type="dxa"/>
            <w:vAlign w:val="bottom"/>
          </w:tcPr>
          <w:p>
            <w:pPr>
              <w:spacing w:after="0"/>
              <w:rPr>
                <w:sz w:val="16"/>
                <w:szCs w:val="16"/>
                <w:color w:val="auto"/>
              </w:rPr>
            </w:pPr>
          </w:p>
        </w:tc>
        <w:tc>
          <w:tcPr>
            <w:tcW w:w="11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64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Camping</w:t>
            </w:r>
          </w:p>
        </w:tc>
        <w:tc>
          <w:tcPr>
            <w:tcW w:w="140" w:type="dxa"/>
            <w:vAlign w:val="bottom"/>
          </w:tcPr>
          <w:p>
            <w:pPr>
              <w:spacing w:after="0"/>
              <w:rPr>
                <w:sz w:val="17"/>
                <w:szCs w:val="17"/>
                <w:color w:val="auto"/>
              </w:rPr>
            </w:pPr>
          </w:p>
        </w:tc>
        <w:tc>
          <w:tcPr>
            <w:tcW w:w="408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Backpacks, camp essentials, canoes and kayaks,</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coolers, outdoor cooking equipment, sleeping bags,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tents and tools</w:t>
            </w:r>
          </w:p>
        </w:tc>
        <w:tc>
          <w:tcPr>
            <w:tcW w:w="1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16.4 %</w:t>
            </w: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16.0 %</w:t>
            </w: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13.1 %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0" w:type="dxa"/>
            <w:vAlign w:val="bottom"/>
          </w:tcPr>
          <w:p>
            <w:pPr>
              <w:spacing w:after="0"/>
              <w:rPr>
                <w:sz w:val="1"/>
                <w:szCs w:val="1"/>
                <w:color w:val="auto"/>
              </w:rPr>
            </w:pPr>
          </w:p>
        </w:tc>
      </w:tr>
      <w:tr>
        <w:trPr>
          <w:trHeight w:val="224"/>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Apparel</w:t>
            </w:r>
          </w:p>
        </w:tc>
        <w:tc>
          <w:tcPr>
            <w:tcW w:w="14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Camouflage, jackets, hats, outerwear, sportswear,</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technical gear and work wear</w:t>
            </w:r>
          </w:p>
        </w:tc>
        <w:tc>
          <w:tcPr>
            <w:tcW w:w="1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6.6 %</w:t>
            </w: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6.8 %</w:t>
            </w: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6.1 %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24"/>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Fishing</w:t>
            </w:r>
          </w:p>
        </w:tc>
        <w:tc>
          <w:tcPr>
            <w:tcW w:w="14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Bait, electronics, fishing rods, flotation items, fly</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fishing, lines, lures, reels, tackle and small boats</w:t>
            </w:r>
          </w:p>
        </w:tc>
        <w:tc>
          <w:tcPr>
            <w:tcW w:w="1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16.8 %</w:t>
            </w: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14.4 %</w:t>
            </w: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14.2 %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0" w:type="dxa"/>
            <w:vAlign w:val="bottom"/>
          </w:tcPr>
          <w:p>
            <w:pPr>
              <w:spacing w:after="0"/>
              <w:rPr>
                <w:sz w:val="1"/>
                <w:szCs w:val="1"/>
                <w:color w:val="auto"/>
              </w:rPr>
            </w:pPr>
          </w:p>
        </w:tc>
      </w:tr>
      <w:tr>
        <w:trPr>
          <w:trHeight w:val="224"/>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Footwear</w:t>
            </w:r>
          </w:p>
        </w:tc>
        <w:tc>
          <w:tcPr>
            <w:tcW w:w="14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Hiking boots, socks, sport sandals, technical footwear,</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trail shoes, casual shoes, waders and work boots</w:t>
            </w:r>
          </w:p>
        </w:tc>
        <w:tc>
          <w:tcPr>
            <w:tcW w:w="1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6.3 %</w:t>
            </w: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6.8 %</w:t>
            </w: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5.8 %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24"/>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Hunting and Shooting</w:t>
            </w:r>
          </w:p>
        </w:tc>
        <w:tc>
          <w:tcPr>
            <w:tcW w:w="14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Ammunition, archery items, ATV accessories, blinds</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tree stands, decoys, firearms, reloading equipment</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shooting gear</w:t>
            </w:r>
          </w:p>
        </w:tc>
        <w:tc>
          <w:tcPr>
            <w:tcW w:w="1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47.9 %</w:t>
            </w: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49.9 %</w:t>
            </w: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55.2 %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56.1 %</w:t>
            </w:r>
          </w:p>
        </w:tc>
        <w:tc>
          <w:tcPr>
            <w:tcW w:w="0" w:type="dxa"/>
            <w:vAlign w:val="bottom"/>
          </w:tcPr>
          <w:p>
            <w:pPr>
              <w:spacing w:after="0"/>
              <w:rPr>
                <w:sz w:val="1"/>
                <w:szCs w:val="1"/>
                <w:color w:val="auto"/>
              </w:rPr>
            </w:pPr>
          </w:p>
        </w:tc>
      </w:tr>
      <w:tr>
        <w:trPr>
          <w:trHeight w:val="224"/>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Optics, Electronics,</w:t>
            </w:r>
          </w:p>
        </w:tc>
        <w:tc>
          <w:tcPr>
            <w:tcW w:w="14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Gift items, GPS devices, knives, lighting, optics, two-</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 and</w:t>
            </w:r>
          </w:p>
        </w:tc>
        <w:tc>
          <w:tcPr>
            <w:tcW w:w="14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way radios, and other license revenue, net of revenue</w:t>
            </w:r>
          </w:p>
        </w:tc>
        <w:tc>
          <w:tcPr>
            <w:tcW w:w="14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6.0 %</w:t>
            </w:r>
          </w:p>
        </w:tc>
        <w:tc>
          <w:tcPr>
            <w:tcW w:w="13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6.1 %</w:t>
            </w:r>
          </w:p>
        </w:tc>
        <w:tc>
          <w:tcPr>
            <w:tcW w:w="13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5.6 %</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34"/>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discounts</w:t>
            </w:r>
          </w:p>
        </w:tc>
        <w:tc>
          <w:tcPr>
            <w:tcW w:w="1400" w:type="dxa"/>
            <w:vAlign w:val="bottom"/>
            <w:gridSpan w:val="3"/>
            <w:vMerge w:val="continue"/>
          </w:tcPr>
          <w:p>
            <w:pPr>
              <w:spacing w:after="0"/>
              <w:rPr>
                <w:sz w:val="20"/>
                <w:szCs w:val="20"/>
                <w:color w:val="auto"/>
              </w:rPr>
            </w:pPr>
          </w:p>
        </w:tc>
        <w:tc>
          <w:tcPr>
            <w:tcW w:w="1360" w:type="dxa"/>
            <w:vAlign w:val="bottom"/>
            <w:gridSpan w:val="3"/>
            <w:vMerge w:val="continue"/>
          </w:tcPr>
          <w:p>
            <w:pPr>
              <w:spacing w:after="0"/>
              <w:rPr>
                <w:sz w:val="20"/>
                <w:szCs w:val="20"/>
                <w:color w:val="auto"/>
              </w:rPr>
            </w:pPr>
          </w:p>
        </w:tc>
        <w:tc>
          <w:tcPr>
            <w:tcW w:w="1360" w:type="dxa"/>
            <w:vAlign w:val="bottom"/>
            <w:gridSpan w:val="3"/>
            <w:vMerge w:val="continue"/>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6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100.0 %</w:t>
            </w: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100.0 %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-2336800</wp:posOffset>
            </wp:positionV>
            <wp:extent cx="7132320" cy="4279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4279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-1617345</wp:posOffset>
            </wp:positionV>
            <wp:extent cx="7132320" cy="2908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-1035685</wp:posOffset>
            </wp:positionV>
            <wp:extent cx="7132320" cy="4279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4279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 as of August 3, 2024 and February 3,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August 3,</w:t>
            </w:r>
          </w:p>
        </w:tc>
        <w:tc>
          <w:tcPr>
            <w:tcW w:w="260" w:type="dxa"/>
            <w:vAlign w:val="bottom"/>
          </w:tcPr>
          <w:p>
            <w:pPr>
              <w:spacing w:after="0"/>
              <w:rPr>
                <w:sz w:val="15"/>
                <w:szCs w:val="15"/>
                <w:color w:val="auto"/>
              </w:rPr>
            </w:pP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0" w:type="dxa"/>
            <w:vAlign w:val="bottom"/>
          </w:tcPr>
          <w:p>
            <w:pPr>
              <w:spacing w:after="0"/>
              <w:rPr>
                <w:sz w:val="1"/>
                <w:szCs w:val="1"/>
                <w:color w:val="auto"/>
              </w:rPr>
            </w:pPr>
          </w:p>
        </w:tc>
      </w:tr>
      <w:tr>
        <w:trPr>
          <w:trHeight w:val="187"/>
        </w:trPr>
        <w:tc>
          <w:tcPr>
            <w:tcW w:w="45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35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172,568</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170,713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3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403,744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398,867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(222,055 )</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(204,415 )</w:t>
            </w:r>
          </w:p>
        </w:tc>
        <w:tc>
          <w:tcPr>
            <w:tcW w:w="0" w:type="dxa"/>
            <w:vAlign w:val="bottom"/>
          </w:tcPr>
          <w:p>
            <w:pPr>
              <w:spacing w:after="0"/>
              <w:rPr>
                <w:sz w:val="1"/>
                <w:szCs w:val="1"/>
                <w:color w:val="auto"/>
              </w:rPr>
            </w:pPr>
          </w:p>
        </w:tc>
      </w:tr>
      <w:tr>
        <w:trPr>
          <w:trHeight w:val="234"/>
        </w:trPr>
        <w:tc>
          <w:tcPr>
            <w:tcW w:w="45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22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181,689</w:t>
            </w:r>
          </w:p>
        </w:tc>
        <w:tc>
          <w:tcPr>
            <w:tcW w:w="100" w:type="dxa"/>
            <w:vAlign w:val="bottom"/>
            <w:tcBorders>
              <w:top w:val="single" w:sz="8" w:color="CFF0FC"/>
            </w:tcBorders>
          </w:tcPr>
          <w:p>
            <w:pPr>
              <w:spacing w:after="0"/>
              <w:rPr>
                <w:sz w:val="20"/>
                <w:szCs w:val="20"/>
                <w:color w:val="auto"/>
              </w:rPr>
            </w:pPr>
          </w:p>
        </w:tc>
        <w:tc>
          <w:tcPr>
            <w:tcW w:w="180" w:type="dxa"/>
            <w:vAlign w:val="bottom"/>
            <w:tcBorders>
              <w:top w:val="single" w:sz="8" w:color="CFF0FC"/>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194,452</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220" w:type="dxa"/>
            <w:vAlign w:val="bottom"/>
            <w:vMerge w:val="restart"/>
          </w:tcPr>
          <w:p>
            <w:pPr>
              <w:jc w:val="right"/>
              <w:ind w:right="1930"/>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0"/>
        </w:trPr>
        <w:tc>
          <w:tcPr>
            <w:tcW w:w="452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452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-1540510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-1540510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-1223645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-1223645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768" w:right="2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Accrued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consisted of the following as of August 3, 2024 and February 3,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August 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February 3,</w:t>
            </w:r>
          </w:p>
        </w:tc>
      </w:tr>
      <w:tr>
        <w:trPr>
          <w:trHeight w:val="187"/>
        </w:trPr>
        <w:tc>
          <w:tcPr>
            <w:tcW w:w="7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Book overdraft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8,444</w:t>
            </w:r>
          </w:p>
        </w:tc>
        <w:tc>
          <w:tcPr>
            <w:tcW w:w="5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14,361</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38,044</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9,497</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10,507</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use tax payable</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5,170</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real estate tax payable</w:t>
            </w: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4,724</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construction costs</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15,729</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80,382</w:t>
            </w:r>
          </w:p>
        </w:tc>
        <w:tc>
          <w:tcPr>
            <w:tcW w:w="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83,665</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121" w:lineRule="exact"/>
        <w:rPr>
          <w:sz w:val="20"/>
          <w:szCs w:val="20"/>
          <w:color w:val="auto"/>
        </w:rPr>
      </w:pPr>
    </w:p>
    <w:p>
      <w:pPr>
        <w:ind w:right="560"/>
        <w:spacing w:after="0" w:line="281" w:lineRule="auto"/>
        <w:rPr>
          <w:sz w:val="20"/>
          <w:szCs w:val="20"/>
          <w:color w:val="auto"/>
        </w:rPr>
      </w:pPr>
      <w:r>
        <w:rPr>
          <w:rFonts w:ascii="Times New Roman" w:cs="Times New Roman" w:eastAsia="Times New Roman" w:hAnsi="Times New Roman"/>
          <w:sz w:val="18"/>
          <w:szCs w:val="18"/>
          <w:color w:val="auto"/>
        </w:rPr>
        <w:t>At the inception of the lease, the Company’s operating leases have remaining certain lease terms of up to 15 years, which typically includes multiple options for the Company to extend the lease which are not reasonably certain.</w:t>
      </w:r>
    </w:p>
    <w:p>
      <w:pPr>
        <w:spacing w:after="0" w:line="16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determines whether a contract is or contains a lease at contract inception. As the rate implicit in the lease is not readily determinable in most of the Company’s leases, the Company uses its incremental borrowing rate based on the information available at commencement date to determine the present value of lease payments. The Company’s incremental borrowing rate for a lease is the rate of interest it would have to pay on a collateralized basis to borrow an amount equal to the lease payments under similar terms. The operating lease asset also includes any fixed lease payments made and includes lease incentives and incurred initial direct costs. Operating lease expense for fixed lease payments is recognized on a straight-line basis over the lease term. The Company’s lease terms may include options to extend or terminate the lease. Additionally, the Company’s leases do not contain any material residual guarantees or material restrictive covenants.</w:t>
      </w:r>
    </w:p>
    <w:p>
      <w:pPr>
        <w:spacing w:after="0" w:line="187"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During the 13 and 26 weeks ended August 3, 2024, the Company recorded non-cash increases of $5,629 and $12,681, respectively, to the right of use assets and operating lease liabilities resulting from lease remeasurements from the exercise of lease extension options, acquired leases, and new leases added.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lease agreements do not contain any material residual value guarantees or material restrictive covenants.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ASC 842, total lease expense was comprised of the following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7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2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2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tcPr>
          <w:p>
            <w:pPr>
              <w:jc w:val="right"/>
              <w:ind w:right="558"/>
              <w:spacing w:after="0" w:line="157"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60" w:type="dxa"/>
            <w:vAlign w:val="bottom"/>
          </w:tcPr>
          <w:p>
            <w:pPr>
              <w:jc w:val="right"/>
              <w:ind w:right="616"/>
              <w:spacing w:after="0" w:line="157" w:lineRule="exact"/>
              <w:rPr>
                <w:sz w:val="20"/>
                <w:szCs w:val="20"/>
                <w:color w:val="auto"/>
              </w:rPr>
            </w:pPr>
            <w:r>
              <w:rPr>
                <w:rFonts w:ascii="Times New Roman" w:cs="Times New Roman" w:eastAsia="Times New Roman" w:hAnsi="Times New Roman"/>
                <w:sz w:val="14"/>
                <w:szCs w:val="14"/>
                <w:b w:val="1"/>
                <w:bCs w:val="1"/>
                <w:color w:val="auto"/>
              </w:rPr>
              <w:t>July 29,</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60" w:type="dxa"/>
            <w:vAlign w:val="bottom"/>
          </w:tcPr>
          <w:p>
            <w:pPr>
              <w:jc w:val="right"/>
              <w:ind w:right="538"/>
              <w:spacing w:after="0" w:line="157"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80" w:type="dxa"/>
            <w:vAlign w:val="bottom"/>
          </w:tcPr>
          <w:p>
            <w:pPr>
              <w:jc w:val="right"/>
              <w:ind w:right="596"/>
              <w:spacing w:after="0" w:line="157" w:lineRule="exact"/>
              <w:rPr>
                <w:sz w:val="20"/>
                <w:szCs w:val="20"/>
                <w:color w:val="auto"/>
              </w:rPr>
            </w:pPr>
            <w:r>
              <w:rPr>
                <w:rFonts w:ascii="Times New Roman" w:cs="Times New Roman" w:eastAsia="Times New Roman" w:hAnsi="Times New Roman"/>
                <w:sz w:val="14"/>
                <w:szCs w:val="14"/>
                <w:b w:val="1"/>
                <w:bCs w:val="1"/>
                <w:color w:val="auto"/>
              </w:rPr>
              <w:t>July 29,</w:t>
            </w:r>
          </w:p>
        </w:tc>
        <w:tc>
          <w:tcPr>
            <w:tcW w:w="100" w:type="dxa"/>
            <w:vAlign w:val="bottom"/>
          </w:tcPr>
          <w:p>
            <w:pPr>
              <w:spacing w:after="0"/>
              <w:rPr>
                <w:sz w:val="13"/>
                <w:szCs w:val="13"/>
                <w:color w:val="auto"/>
              </w:rPr>
            </w:pPr>
          </w:p>
        </w:tc>
      </w:tr>
      <w:tr>
        <w:trPr>
          <w:trHeight w:val="187"/>
        </w:trPr>
        <w:tc>
          <w:tcPr>
            <w:tcW w:w="2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tcPr>
          <w:p>
            <w:pPr>
              <w:jc w:val="right"/>
              <w:ind w:right="7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60" w:type="dxa"/>
            <w:vAlign w:val="bottom"/>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tcPr>
          <w:p>
            <w:pPr>
              <w:jc w:val="right"/>
              <w:ind w:right="6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80" w:type="dxa"/>
            <w:vAlign w:val="bottom"/>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43"/>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17,123</w:t>
            </w:r>
          </w:p>
        </w:tc>
        <w:tc>
          <w:tcPr>
            <w:tcW w:w="940" w:type="dxa"/>
            <w:vAlign w:val="bottom"/>
            <w:gridSpan w:val="3"/>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16,129</w:t>
            </w:r>
          </w:p>
        </w:tc>
        <w:tc>
          <w:tcPr>
            <w:tcW w:w="6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34,159</w:t>
            </w:r>
          </w:p>
        </w:tc>
        <w:tc>
          <w:tcPr>
            <w:tcW w:w="980" w:type="dxa"/>
            <w:vAlign w:val="bottom"/>
            <w:gridSpan w:val="3"/>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31,717</w:t>
            </w:r>
          </w:p>
        </w:tc>
        <w:tc>
          <w:tcPr>
            <w:tcW w:w="100" w:type="dxa"/>
            <w:vAlign w:val="bottom"/>
            <w:shd w:val="clear" w:color="auto" w:fill="CFF0FC"/>
          </w:tcPr>
          <w:p>
            <w:pPr>
              <w:spacing w:after="0"/>
              <w:rPr>
                <w:sz w:val="21"/>
                <w:szCs w:val="21"/>
                <w:color w:val="auto"/>
              </w:rPr>
            </w:pPr>
          </w:p>
        </w:tc>
      </w:tr>
      <w:tr>
        <w:trPr>
          <w:trHeight w:val="238"/>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expense</w:t>
            </w:r>
          </w:p>
        </w:tc>
        <w:tc>
          <w:tcPr>
            <w:tcW w:w="3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11,228</w:t>
            </w:r>
          </w:p>
        </w:tc>
        <w:tc>
          <w:tcPr>
            <w:tcW w:w="100" w:type="dxa"/>
            <w:vAlign w:val="bottom"/>
          </w:tcPr>
          <w:p>
            <w:pPr>
              <w:spacing w:after="0"/>
              <w:rPr>
                <w:sz w:val="20"/>
                <w:szCs w:val="20"/>
                <w:color w:val="auto"/>
              </w:rPr>
            </w:pPr>
          </w:p>
        </w:tc>
      </w:tr>
      <w:tr>
        <w:trPr>
          <w:trHeight w:val="243"/>
        </w:trPr>
        <w:tc>
          <w:tcPr>
            <w:tcW w:w="2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lease expense</w:t>
            </w:r>
          </w:p>
        </w:tc>
        <w:tc>
          <w:tcPr>
            <w:tcW w:w="36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2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lease expense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23,352</w:t>
            </w:r>
          </w:p>
        </w:tc>
        <w:tc>
          <w:tcPr>
            <w:tcW w:w="9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22,212</w:t>
            </w:r>
          </w:p>
        </w:tc>
        <w:tc>
          <w:tcPr>
            <w:tcW w:w="6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46,750</w:t>
            </w:r>
          </w:p>
        </w:tc>
        <w:tc>
          <w:tcPr>
            <w:tcW w:w="9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43,554</w:t>
            </w:r>
          </w:p>
        </w:tc>
        <w:tc>
          <w:tcPr>
            <w:tcW w:w="100" w:type="dxa"/>
            <w:vAlign w:val="bottom"/>
          </w:tcPr>
          <w:p>
            <w:pPr>
              <w:spacing w:after="0"/>
              <w:rPr>
                <w:sz w:val="20"/>
                <w:szCs w:val="20"/>
                <w:color w:val="auto"/>
              </w:rPr>
            </w:pPr>
          </w:p>
        </w:tc>
      </w:tr>
      <w:tr>
        <w:trPr>
          <w:trHeight w:val="20"/>
        </w:trPr>
        <w:tc>
          <w:tcPr>
            <w:tcW w:w="27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2941955</wp:posOffset>
            </wp:positionH>
            <wp:positionV relativeFrom="paragraph">
              <wp:posOffset>-187960</wp:posOffset>
            </wp:positionV>
            <wp:extent cx="768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-187960</wp:posOffset>
            </wp:positionV>
            <wp:extent cx="768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5707380</wp:posOffset>
            </wp:positionH>
            <wp:positionV relativeFrom="paragraph">
              <wp:posOffset>-187960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ASC 842, other information related to leases was as follows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60" w:type="dxa"/>
            <w:vAlign w:val="bottom"/>
            <w:gridSpan w:val="8"/>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58"/>
        </w:trPr>
        <w:tc>
          <w:tcPr>
            <w:tcW w:w="77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gridSpan w:val="4"/>
          </w:tcPr>
          <w:p>
            <w:pPr>
              <w:jc w:val="center"/>
              <w:ind w:right="500"/>
              <w:spacing w:after="0" w:line="157"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2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center"/>
              <w:ind w:right="115"/>
              <w:spacing w:after="0" w:line="157" w:lineRule="exact"/>
              <w:rPr>
                <w:sz w:val="20"/>
                <w:szCs w:val="20"/>
                <w:color w:val="auto"/>
              </w:rPr>
            </w:pPr>
            <w:r>
              <w:rPr>
                <w:rFonts w:ascii="Times New Roman" w:cs="Times New Roman" w:eastAsia="Times New Roman" w:hAnsi="Times New Roman"/>
                <w:sz w:val="14"/>
                <w:szCs w:val="14"/>
                <w:b w:val="1"/>
                <w:bCs w:val="1"/>
                <w:color w:val="auto"/>
              </w:rPr>
              <w:t>July 29,</w:t>
            </w:r>
          </w:p>
        </w:tc>
        <w:tc>
          <w:tcPr>
            <w:tcW w:w="160" w:type="dxa"/>
            <w:vAlign w:val="bottom"/>
            <w:gridSpan w:val="2"/>
          </w:tcPr>
          <w:p>
            <w:pPr>
              <w:spacing w:after="0"/>
              <w:rPr>
                <w:sz w:val="13"/>
                <w:szCs w:val="13"/>
                <w:color w:val="auto"/>
              </w:rPr>
            </w:pPr>
          </w:p>
        </w:tc>
      </w:tr>
      <w:tr>
        <w:trPr>
          <w:trHeight w:val="187"/>
        </w:trPr>
        <w:tc>
          <w:tcPr>
            <w:tcW w:w="7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37,226</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33,984</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380"/>
        </w:trPr>
        <w:tc>
          <w:tcPr>
            <w:tcW w:w="7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4"/>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As of August 3,</w:t>
            </w:r>
          </w:p>
        </w:tc>
        <w:tc>
          <w:tcPr>
            <w:tcW w:w="200" w:type="dxa"/>
            <w:vAlign w:val="bottom"/>
          </w:tcPr>
          <w:p>
            <w:pPr>
              <w:spacing w:after="0"/>
              <w:rPr>
                <w:sz w:val="24"/>
                <w:szCs w:val="24"/>
                <w:color w:val="auto"/>
              </w:rPr>
            </w:pPr>
          </w:p>
        </w:tc>
        <w:tc>
          <w:tcPr>
            <w:tcW w:w="152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 of July 29,</w:t>
            </w:r>
          </w:p>
        </w:tc>
      </w:tr>
      <w:tr>
        <w:trPr>
          <w:trHeight w:val="187"/>
        </w:trPr>
        <w:tc>
          <w:tcPr>
            <w:tcW w:w="7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or remeasured operating lease liabilities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12,681</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46,081</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Terminated right-of-use assets and liabilities</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200" w:type="dxa"/>
            <w:vAlign w:val="bottom"/>
            <w:shd w:val="clear" w:color="auto" w:fill="CFF0FC"/>
          </w:tcPr>
          <w:p>
            <w:pPr>
              <w:spacing w:after="0"/>
              <w:rPr>
                <w:sz w:val="21"/>
                <w:szCs w:val="21"/>
                <w:color w:val="auto"/>
              </w:rPr>
            </w:pPr>
          </w:p>
        </w:tc>
        <w:tc>
          <w:tcPr>
            <w:tcW w:w="13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6.00</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200" w:type="dxa"/>
            <w:vAlign w:val="bottom"/>
          </w:tcPr>
          <w:p>
            <w:pPr>
              <w:spacing w:after="0"/>
              <w:rPr>
                <w:sz w:val="20"/>
                <w:szCs w:val="20"/>
                <w:color w:val="auto"/>
              </w:rPr>
            </w:pPr>
          </w:p>
        </w:tc>
        <w:tc>
          <w:tcPr>
            <w:tcW w:w="16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7.63 %</w:t>
            </w:r>
          </w:p>
        </w:tc>
        <w:tc>
          <w:tcPr>
            <w:tcW w:w="20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7.78 %</w:t>
            </w:r>
          </w:p>
        </w:tc>
      </w:tr>
      <w:tr>
        <w:trPr>
          <w:trHeight w:val="481"/>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In accordance with ASC 842, maturities of operating lease liabilities as of August 3, 2024 were as follows:</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80"/>
        </w:trPr>
        <w:tc>
          <w:tcPr>
            <w:tcW w:w="7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3"/>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87"/>
        </w:trPr>
        <w:tc>
          <w:tcPr>
            <w:tcW w:w="7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Ending:</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60" w:type="dxa"/>
            <w:vAlign w:val="bottom"/>
            <w:gridSpan w:val="2"/>
          </w:tcPr>
          <w:p>
            <w:pPr>
              <w:spacing w:after="0"/>
              <w:rPr>
                <w:sz w:val="16"/>
                <w:szCs w:val="16"/>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 (remainder)</w:t>
            </w:r>
          </w:p>
        </w:tc>
        <w:tc>
          <w:tcPr>
            <w:tcW w:w="200" w:type="dxa"/>
            <w:vAlign w:val="bottom"/>
            <w:shd w:val="clear" w:color="auto" w:fill="CFF0FC"/>
          </w:tcPr>
          <w:p>
            <w:pPr>
              <w:spacing w:after="0"/>
              <w:rPr>
                <w:sz w:val="20"/>
                <w:szCs w:val="20"/>
                <w:color w:val="auto"/>
              </w:rPr>
            </w:pPr>
          </w:p>
        </w:tc>
        <w:tc>
          <w:tcPr>
            <w:tcW w:w="1640" w:type="dxa"/>
            <w:vAlign w:val="bottom"/>
            <w:gridSpan w:val="4"/>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37,406</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72,726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1"/>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70,213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63,604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1"/>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56,593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180,120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Undiscounted cash flows</w:t>
            </w:r>
          </w:p>
        </w:tc>
        <w:tc>
          <w:tcPr>
            <w:tcW w:w="200" w:type="dxa"/>
            <w:vAlign w:val="bottom"/>
            <w:shd w:val="clear" w:color="auto" w:fill="CFF0FC"/>
          </w:tcPr>
          <w:p>
            <w:pPr>
              <w:spacing w:after="0"/>
              <w:rPr>
                <w:sz w:val="20"/>
                <w:szCs w:val="20"/>
                <w:color w:val="auto"/>
              </w:rPr>
            </w:pPr>
          </w:p>
        </w:tc>
        <w:tc>
          <w:tcPr>
            <w:tcW w:w="1640" w:type="dxa"/>
            <w:vAlign w:val="bottom"/>
            <w:gridSpan w:val="4"/>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480,662</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6"/>
        </w:trPr>
        <w:tc>
          <w:tcPr>
            <w:tcW w:w="7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Reconciliation of lease liabilities:</w:t>
            </w:r>
          </w:p>
        </w:tc>
        <w:tc>
          <w:tcPr>
            <w:tcW w:w="200" w:type="dxa"/>
            <w:vAlign w:val="bottom"/>
            <w:tcBorders>
              <w:top w:val="single" w:sz="8" w:color="CFF0FC"/>
            </w:tcBorders>
          </w:tcPr>
          <w:p>
            <w:pPr>
              <w:spacing w:after="0"/>
              <w:rPr>
                <w:sz w:val="20"/>
                <w:szCs w:val="20"/>
                <w:color w:val="auto"/>
              </w:rPr>
            </w:pPr>
          </w:p>
        </w:tc>
        <w:tc>
          <w:tcPr>
            <w:tcW w:w="108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Present values</w:t>
            </w:r>
          </w:p>
        </w:tc>
        <w:tc>
          <w:tcPr>
            <w:tcW w:w="200" w:type="dxa"/>
            <w:vAlign w:val="bottom"/>
            <w:shd w:val="clear" w:color="auto" w:fill="CFF0FC"/>
          </w:tcPr>
          <w:p>
            <w:pPr>
              <w:spacing w:after="0"/>
              <w:rPr>
                <w:sz w:val="21"/>
                <w:szCs w:val="21"/>
                <w:color w:val="auto"/>
              </w:rPr>
            </w:pPr>
          </w:p>
        </w:tc>
        <w:tc>
          <w:tcPr>
            <w:tcW w:w="1640" w:type="dxa"/>
            <w:vAlign w:val="bottom"/>
            <w:gridSpan w:val="4"/>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368,151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liabilities - current</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49,129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liabilities - noncurrent</w:t>
            </w:r>
          </w:p>
        </w:tc>
        <w:tc>
          <w:tcPr>
            <w:tcW w:w="2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319,022</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 total</w:t>
            </w:r>
          </w:p>
        </w:tc>
        <w:tc>
          <w:tcPr>
            <w:tcW w:w="200" w:type="dxa"/>
            <w:vAlign w:val="bottom"/>
          </w:tcPr>
          <w:p>
            <w:pPr>
              <w:spacing w:after="0"/>
              <w:rPr>
                <w:sz w:val="20"/>
                <w:szCs w:val="20"/>
                <w:color w:val="auto"/>
              </w:rPr>
            </w:pPr>
          </w:p>
        </w:tc>
        <w:tc>
          <w:tcPr>
            <w:tcW w:w="16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368,151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Difference between undiscounted and discounted cash flows</w:t>
            </w:r>
          </w:p>
        </w:tc>
        <w:tc>
          <w:tcPr>
            <w:tcW w:w="200" w:type="dxa"/>
            <w:vAlign w:val="bottom"/>
            <w:shd w:val="clear" w:color="auto" w:fill="CFF0FC"/>
          </w:tcPr>
          <w:p>
            <w:pPr>
              <w:spacing w:after="0"/>
              <w:rPr>
                <w:sz w:val="19"/>
                <w:szCs w:val="19"/>
                <w:color w:val="auto"/>
              </w:rPr>
            </w:pPr>
          </w:p>
        </w:tc>
        <w:tc>
          <w:tcPr>
            <w:tcW w:w="1640" w:type="dxa"/>
            <w:vAlign w:val="bottom"/>
            <w:gridSpan w:val="4"/>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112,511</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-967105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-341630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The Company has excluded in the table above approximately $7.9 million for a lease (undiscounted basis) that was entered into as of August 30, 2024. This lease will commence in 2025 with a lease term of 12 years</w:t>
      </w:r>
      <w:r>
        <w:rPr>
          <w:rFonts w:ascii="Times New Roman" w:cs="Times New Roman" w:eastAsia="Times New Roman" w:hAnsi="Times New Roman"/>
          <w:sz w:val="16"/>
          <w:szCs w:val="16"/>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Long-Term 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consisted of the following as of August 3, 2024 and February 3,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60" w:type="dxa"/>
            <w:vAlign w:val="bottom"/>
            <w:gridSpan w:val="2"/>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August 3,</w:t>
            </w:r>
          </w:p>
        </w:tc>
        <w:tc>
          <w:tcPr>
            <w:tcW w:w="220" w:type="dxa"/>
            <w:vAlign w:val="bottom"/>
          </w:tcPr>
          <w:p>
            <w:pPr>
              <w:spacing w:after="0"/>
              <w:rPr>
                <w:sz w:val="15"/>
                <w:szCs w:val="15"/>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February 3,</w:t>
            </w:r>
          </w:p>
        </w:tc>
      </w:tr>
      <w:tr>
        <w:trPr>
          <w:trHeight w:val="187"/>
        </w:trPr>
        <w:tc>
          <w:tcPr>
            <w:tcW w:w="7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r>
      <w:tr>
        <w:trPr>
          <w:trHeight w:val="23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4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discount</w:t>
            </w:r>
          </w:p>
        </w:tc>
        <w:tc>
          <w:tcPr>
            <w:tcW w:w="320" w:type="dxa"/>
            <w:vAlign w:val="bottom"/>
          </w:tcPr>
          <w:p>
            <w:pPr>
              <w:spacing w:after="0"/>
              <w:rPr>
                <w:sz w:val="20"/>
                <w:szCs w:val="20"/>
                <w:color w:val="auto"/>
              </w:rPr>
            </w:pPr>
          </w:p>
        </w:tc>
        <w:tc>
          <w:tcPr>
            <w:tcW w:w="17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(968 )</w:t>
            </w:r>
          </w:p>
        </w:tc>
        <w:tc>
          <w:tcPr>
            <w:tcW w:w="220" w:type="dxa"/>
            <w:vAlign w:val="bottom"/>
          </w:tcPr>
          <w:p>
            <w:pPr>
              <w:spacing w:after="0"/>
              <w:rPr>
                <w:sz w:val="20"/>
                <w:szCs w:val="20"/>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764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24,032</w:t>
            </w:r>
          </w:p>
        </w:tc>
        <w:tc>
          <w:tcPr>
            <w:tcW w:w="4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0"/>
                <w:szCs w:val="20"/>
                <w:color w:val="auto"/>
              </w:rPr>
            </w:pPr>
          </w:p>
        </w:tc>
      </w:tr>
      <w:tr>
        <w:trPr>
          <w:trHeight w:val="238"/>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 net of discount</w:t>
            </w: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76"/>
        </w:trPr>
        <w:tc>
          <w:tcPr>
            <w:tcW w:w="7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portion</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24,032</w:t>
            </w:r>
          </w:p>
        </w:tc>
        <w:tc>
          <w:tcPr>
            <w:tcW w:w="4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-24765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-7620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 Loan</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July 30, 2024, Sportsman’s Warehouse, Inc. (“SWI”) a wholly owned subsidiary of Holdings, as lead borrower, Holdings, as guarantor, and other subsidiaries of Holdings, each as borrowers, and PLC Agent LLC (the “Pathlight Agent”), as administrative and collateral agent for various lenders affiliated with Pathlight Capital (the “ABL Lenders”), entered into an ABL Term Loan Credit Agreement (the “Term Loan”). The Term Loan provides for a senior secured term loan credit facility in an aggregate principal amount of $45,000, consisting of $25,000 in initial ABL term loans that were made by the ABL Lenders on July 30, 2024 and $20,000 in delayed draw ABL term</w:t>
      </w:r>
    </w:p>
    <w:p>
      <w:pPr>
        <w:sectPr>
          <w:pgSz w:w="11900" w:h="16838" w:orient="portrait"/>
          <w:cols w:equalWidth="0" w:num="1">
            <w:col w:w="11300"/>
          </w:cols>
          <w:pgMar w:left="320" w:top="768" w:right="279" w:bottom="1440" w:gutter="0" w:footer="0" w:header="0"/>
        </w:sectPr>
      </w:pPr>
    </w:p>
    <w:p>
      <w:pPr>
        <w:spacing w:after="0" w:line="3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8" w:right="27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The $25,000 in proceeds from the initial ABL term loans were used to repay obligations under the Revolving Line of Credit described in Note 8.</w:t>
      </w:r>
    </w:p>
    <w:p>
      <w:pPr>
        <w:spacing w:after="0" w:line="225"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The Company incurred deferred financing costs and discounts related to the Term Loan of approximately $972. These costs offset the recorded carrying amount of the Term Loan on the condensed consolidated balance sheet and are amortized to interest expense over the life of the Term Loan. As of August 3, 2024 and February 3, 2024, the Company had $25,000 and $0, respectively, in outstanding loans under the Term Loan. As of August 3, 2024, the Company had $18,000 available for borrowing under the Term Loan, calculated based upon certain borrowing base restrictions.</w:t>
      </w:r>
    </w:p>
    <w:p>
      <w:pPr>
        <w:spacing w:after="0" w:line="18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availability of loans under the Term Loan is subject to a borrowing base calculation based on eligible credit card receivables, eligible inventory, the revolving borrowing base determined under the Revolving Line of Credit, and reserves. The Term Loan has a stated maturity date of the earlier of July 30, 2029 or the maturity date of the Revolving Line of Credit (described below). Borrowings under the Term Loan bear interest at a rate equal to the greater of a floor rate of 3.0% or (i) a specified term secured overnight financing rate (SOFR), plus (ii) 0.10% as a SOFR adjustment, plus (iii) the applicable margin as specified in the Term Loan. The applicable margin means either 3.50% or 6.50% depending on the type of term loan. Under the Term Loan, loans may be required to be converted to base rate loans and in such case, the applicable margin rate will increase by 1.0%. The interest rate on the amounts outstanding under the Term Loan as of August 3, 2024 was 11.26%.</w:t>
      </w:r>
    </w:p>
    <w:p>
      <w:pPr>
        <w:spacing w:after="0" w:line="18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Subject to specified exceptions, SWI and the other borrowers may be required to make mandatory prepayments under the Term Loan in the event of certain dispositions of certain property or assets, in the event of receipt of certain tax refunds, insurance or condemnation proceeds, upon the issuance of certain debt or equity securities, upon the incurrence of certain indebtedness for borrowed money or upon the receipt of certain payments not received in the ordinary course of business.</w:t>
      </w:r>
    </w:p>
    <w:p>
      <w:pPr>
        <w:spacing w:after="0" w:line="18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addition, the Term Loan contains customary affirmative and negative covenants, including covenants that limit the ability of the Company to incur, create or assume certain indebtedness, to create, incur or assume certain liens, to make certain investments, to make sales, transfers and dispositions of certain property and to undergo certain fundamental changes, including certain mergers, liquidations and consolidations. The Term Loan also requires the Company to maintain a minimum availability at all times of not less than the greater of $30,000 and 10% of the gross borrowing base and contains customary events of default, including defaults triggered by defaults under the Revolving Line of Credit.</w:t>
      </w:r>
    </w:p>
    <w:p>
      <w:pPr>
        <w:spacing w:after="0" w:line="182"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Each of the subsidiaries of Holdings is a borrower under the Term Loan, and all obligations under the Term Loan are guaranteed by Holdings. All of the obligations under the Term Loan are secured by a lien on substantially all of Holdings’ assets and the assets of all of Holdings’ subsidiaries, including a pledge of all capital stock of each of Holdings’ subsidiaries. The lien securing the obligations under the Term Loan is a first priority lien as to equipment, fixtures, intellectual property and equity interests.</w:t>
      </w:r>
    </w:p>
    <w:p>
      <w:pPr>
        <w:spacing w:after="0" w:line="18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As of August 3, 2024 and February 3, 2024, the Company had $968 and $0, respectively, in outstanding deferred financing fees and discounts related to the Term Loan. During the 13 and 26 weeks ended August 3, 2024, the Company recognized $4 and $4, respectively, of non-cash interest expense with regard to the amortization of deferred financing fees and discounts. During the 13 and 26 weeks ended July 29, 2023, the Company did not recognize any non-cash interest expense related to a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scheduled minimum payments on outstanding long-term debt were as follows as of August 3,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Ending:</w:t>
            </w:r>
          </w:p>
        </w:tc>
        <w:tc>
          <w:tcPr>
            <w:tcW w:w="26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tcPr>
          <w:p>
            <w:pPr>
              <w:jc w:val="right"/>
              <w:ind w:right="952"/>
              <w:spacing w:after="0"/>
              <w:rPr>
                <w:sz w:val="20"/>
                <w:szCs w:val="20"/>
                <w:color w:val="auto"/>
              </w:rPr>
            </w:pPr>
            <w:r>
              <w:rPr>
                <w:rFonts w:ascii="Times New Roman" w:cs="Times New Roman" w:eastAsia="Times New Roman" w:hAnsi="Times New Roman"/>
                <w:sz w:val="14"/>
                <w:szCs w:val="14"/>
                <w:b w:val="1"/>
                <w:bCs w:val="1"/>
                <w:color w:val="auto"/>
              </w:rPr>
              <w:t>Minimum Payments</w:t>
            </w:r>
          </w:p>
        </w:tc>
        <w:tc>
          <w:tcPr>
            <w:tcW w:w="100" w:type="dxa"/>
            <w:vAlign w:val="bottom"/>
          </w:tcPr>
          <w:p>
            <w:pPr>
              <w:spacing w:after="0"/>
              <w:rPr>
                <w:sz w:val="16"/>
                <w:szCs w:val="16"/>
                <w:color w:val="auto"/>
              </w:rPr>
            </w:pPr>
          </w:p>
        </w:tc>
      </w:tr>
      <w:tr>
        <w:trPr>
          <w:trHeight w:val="236"/>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 (remainder)</w:t>
            </w:r>
          </w:p>
        </w:tc>
        <w:tc>
          <w:tcPr>
            <w:tcW w:w="840" w:type="dxa"/>
            <w:vAlign w:val="bottom"/>
            <w:gridSpan w:val="2"/>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76"/>
        </w:trPr>
        <w:tc>
          <w:tcPr>
            <w:tcW w:w="7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2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Revolving Line of Credit</w:t>
      </w:r>
    </w:p>
    <w:p>
      <w:pPr>
        <w:spacing w:after="0" w:line="121"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SWI, as lead borrower, Holdings, and other subsidiaries of Holdings, each as borrowers, and Wells Fargo Bank, National Association (“Wells Fargo”), as administrative agent, collateral agent, swing line lender, letter of credit issuer and lender, with a consortium of banks led by Wells Fargo, entered into a Second Amendment to Amended and Restated Credit Agreement (the “Second Amendment”). Through the Second Amendment, the parties agreed to amend the Amended and Restated Credit Agreement, dated as of May 23, 2018, as previously amended May 17, 2022 by and among SWI, as lead borrower, and Wells Fargo, as agent and a lender, and the other parties listed on the signature pages thereto (as amended, including by the Second Amendment, the “Revolving Line of Credit”).</w:t>
      </w:r>
    </w:p>
    <w:p>
      <w:pPr>
        <w:spacing w:after="0" w:line="186"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8"/>
          <w:szCs w:val="18"/>
          <w:color w:val="auto"/>
        </w:rPr>
        <w:t>The Company did not incur any additional fees related to the Revolving Line of Credit and will continue to amortize the prior recorded fees of $508 paid to various parties which were capitalized in association with the May 17, 2022 amendment. Fees associated with the Revolving Line of Credit were recorded in prepaid expenses and other assets.</w:t>
      </w:r>
    </w:p>
    <w:p>
      <w:pPr>
        <w:spacing w:after="0" w:line="17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As of August 3, 2024 and February 3, 2024, the Company had $144,689 and $135,272, respectively, in outstanding revolving loans under the Revolving Line of Credit. Amounts outstanding are offset on the condensed consolidated balance sheets by amounts in depository accounts under lock-box type arrangements, which were $13,635 and $9,230 as of August 3, 2024 and February 3, 2024, respectively. As of August 3, 2024, the Company had $79,291 available for borrowing under the Revolving Line of Credit, calculated based upon certain borrowing base restrictions and stand-by commercial letters of credit of $2,000 under the terms of the Revolving Line of Credit.</w:t>
      </w:r>
    </w:p>
    <w:p>
      <w:pPr>
        <w:spacing w:after="0" w:line="18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Borrowings under the Revolving Line of Credit bear interest based on either the base rate or Term SOFR (as defined in the Revolving Line of Credit), at the Company’s option, in each case plus an applicable margin. The base rate is the greatest of (1) the floor rate (as defined in the Revolving Line of Credit as a rate of interest equal to 0.0%) (2) Wells Fargo’s prime rate, (3) the federal funds rate (as defined in the Revolving Line of Credit) plus 0.50% or (4) the one-month Term SOFR (as defined in the Revolving Line of Credit) plus 1.00%. The applicable margin for loans under the Revolving Line of Credit, which varies based on the average daily availability, ranges from 0.25% to 0.50% per year for base rate loans and from 1.35% to 1.60% per year for Term SOFR loans. The Company is required to pay a commitment fee for the unused portion of the Revolving Line of Credit, which will range from 0.20% to 0.225% per annum, depending on the average daily availability under the Revolving Line of Credit. The interest rate on the amounts outstanding under the Revolving Line of Credit as of August 3, 2024 and February 3, 2024 was 6.79% and 7.01%, respectively.</w:t>
      </w:r>
    </w:p>
    <w:p>
      <w:pPr>
        <w:spacing w:after="0" w:line="189"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The Company may be required to make mandatory prepayments under the Revolving Line of Credit in the event of a disposition of certain property or assets, in the event of receipt of certain insurance or condemnation proceeds, upon the issuance of certain debt or equity securities, upon the incurrence of certain indebtedness for borrowed money or upon the receipt of certain payments not received in the ordinary course of business.</w:t>
      </w:r>
    </w:p>
    <w:p>
      <w:pPr>
        <w:spacing w:after="0" w:line="177"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The Revolving Line of Credit contains customary affirmative and negative covenants, including covenants that limit the Company’s ability to incur, create or assume certain indebtedness, to create, incur or assume certain liens, to make certain investments, to make sales, transfers and dispositions of certain property and to undergo certain fundamental changes, including certain mergers, liquidations and consolidations. The Revolving Line of Credit also requires the Company to maintain a minimum availability at all times of not less than 10% of the gross borrowing</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base and contains customary events of default, including defaults triggered by defaults under the Term Loan. The Revolving Line of Credit matures on May 27, 2027.</w:t>
      </w:r>
    </w:p>
    <w:p>
      <w:pPr>
        <w:spacing w:after="0" w:line="163"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Each of the subsidiaries of Holdings is a borrower under the Revolving Line of Credit, and all obligations under the Revolving Line of Credit are guaranteed by Holdings. All of the obligations under the Revolving Line of Credit are secured by a lien on substantially all of Holdings’ assets and the assets of all of Holdings’ subsidiaries, including a pledge of all capital stock of each of Holdings’ subsidiaries. The lien securing the obligations under the Revolving Line of Credit is a first priority lien as to certain liquid assets, including cash, accounts receivable, deposit accounts and inventory.</w:t>
      </w:r>
    </w:p>
    <w:p>
      <w:pPr>
        <w:spacing w:after="0" w:line="182"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As of August 3, 2024 and February 3, 2024, the Company had $428 and $503, respectively, in outstanding deferred financing fees. During the 13 and 26 weeks ended August 3, 2024, the Company recognized $38 and $76, respectively, of non-cash interest expense with regard to the amortization of deferred financing fees. During the 13 and 26 weeks ended July 29, 2023, the Company recognized $38 and $76, respectively, of non-cash interest expense with regard to the amortization of deferred financing fees.</w:t>
      </w:r>
    </w:p>
    <w:p>
      <w:pPr>
        <w:spacing w:after="0" w:line="182"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During the 13 and 26 weeks ended August 3, 2024, gross borrowings under the Revolving Line of Credit were $307,762 and $615,477, respectively. During the 13 and 26 weeks ended July 29, 2023, gross borrowings under the Revolving Line of Credit were $388,889 and $746,235, respectively. During the 13 and 26 weeks ended August 3, 2024, gross paydowns under the Revolving Line of Credit were $342,581 and $612,175, respectively. During the 13 and 26 weeks ended July 29, 2023, gross paydowns under the Revolving Line of Credit were $337,384 and $631,182, respectively.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Net Assets</w:t>
      </w:r>
    </w:p>
    <w:p>
      <w:pPr>
        <w:spacing w:after="0" w:line="12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The provisions of the Term Loan and the Revolving Line of Credit restrict all of the net assets of the Company’s consolidated subsidiaries, which constitute all of the net assets on the Company’s condensed consolidated balance sheet as of August 3, 2024, from being used to pay any dividends without prior written consent from the financial institutions party to the respective agreement.</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During the 13 and 26 weeks ended August 3, 2024, the Company recognized income tax benefit of $2,057 and $7,526, respectively. During the 13 and 26 weeks ended July 29, 2023, the Company recognized income tax benefit of $1,756 and $7,123, respectively. The Company's effective tax rate during the 13 and 26 weeks ended August 3, 2024 was 25.8% and 23.9%, respectively. The Company's effective tax rate during the 13 and 26 weeks ended July 29, 2023 was 34.8% and 27.3%, respectively. The Company’s effective tax rate will generally differ from the U.S. Federal statutory rate of 21.0%, due to state taxes, permanent items, and discrete items relating to stock award deductions.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Stockholders’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119" w:lineRule="exact"/>
        <w:rPr>
          <w:sz w:val="20"/>
          <w:szCs w:val="20"/>
          <w:color w:val="auto"/>
        </w:rPr>
      </w:pPr>
    </w:p>
    <w:p>
      <w:pPr>
        <w:jc w:val="both"/>
        <w:ind w:right="220"/>
        <w:spacing w:after="0" w:line="265" w:lineRule="auto"/>
        <w:rPr>
          <w:sz w:val="20"/>
          <w:szCs w:val="20"/>
          <w:color w:val="auto"/>
        </w:rPr>
      </w:pPr>
      <w:r>
        <w:rPr>
          <w:rFonts w:ascii="Times New Roman" w:cs="Times New Roman" w:eastAsia="Times New Roman" w:hAnsi="Times New Roman"/>
          <w:sz w:val="18"/>
          <w:szCs w:val="18"/>
          <w:color w:val="auto"/>
        </w:rPr>
        <w:t>Basic earnings per share is calculated by dividing net income by the weighted-average number of shares of common stock outstanding during the period. Diluted earnings per share represents basic earnings per share adjusted to include the potentially dilutive effect of nonvested share awards and nonvested share unit awards.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7"/>
          </w:tcPr>
          <w:p>
            <w:pPr>
              <w:ind w:left="4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00" w:type="dxa"/>
            <w:vAlign w:val="bottom"/>
          </w:tcPr>
          <w:p>
            <w:pPr>
              <w:spacing w:after="0"/>
              <w:rPr>
                <w:sz w:val="16"/>
                <w:szCs w:val="16"/>
                <w:color w:val="auto"/>
              </w:rPr>
            </w:pPr>
          </w:p>
        </w:tc>
        <w:tc>
          <w:tcPr>
            <w:tcW w:w="260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58"/>
        </w:trPr>
        <w:tc>
          <w:tcPr>
            <w:tcW w:w="54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3"/>
          </w:tcPr>
          <w:p>
            <w:pPr>
              <w:ind w:left="120"/>
              <w:spacing w:after="0" w:line="157"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2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294"/>
              <w:spacing w:after="0" w:line="157" w:lineRule="exact"/>
              <w:rPr>
                <w:sz w:val="20"/>
                <w:szCs w:val="20"/>
                <w:color w:val="auto"/>
              </w:rPr>
            </w:pPr>
            <w:r>
              <w:rPr>
                <w:rFonts w:ascii="Times New Roman" w:cs="Times New Roman" w:eastAsia="Times New Roman" w:hAnsi="Times New Roman"/>
                <w:sz w:val="14"/>
                <w:szCs w:val="14"/>
                <w:b w:val="1"/>
                <w:bCs w:val="1"/>
                <w:color w:val="auto"/>
              </w:rPr>
              <w:t>July 29,</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3"/>
          </w:tcPr>
          <w:p>
            <w:pPr>
              <w:ind w:left="120"/>
              <w:spacing w:after="0" w:line="157"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2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294"/>
              <w:spacing w:after="0" w:line="157" w:lineRule="exact"/>
              <w:rPr>
                <w:sz w:val="20"/>
                <w:szCs w:val="20"/>
                <w:color w:val="auto"/>
              </w:rPr>
            </w:pPr>
            <w:r>
              <w:rPr>
                <w:rFonts w:ascii="Times New Roman" w:cs="Times New Roman" w:eastAsia="Times New Roman" w:hAnsi="Times New Roman"/>
                <w:sz w:val="14"/>
                <w:szCs w:val="14"/>
                <w:b w:val="1"/>
                <w:bCs w:val="1"/>
                <w:color w:val="auto"/>
              </w:rPr>
              <w:t>July 29,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(5,906 )</w:t>
            </w:r>
          </w:p>
        </w:tc>
        <w:tc>
          <w:tcPr>
            <w:tcW w:w="140" w:type="dxa"/>
            <w:vAlign w:val="bottom"/>
            <w:shd w:val="clear" w:color="auto" w:fill="CFF0FC"/>
          </w:tcPr>
          <w:p>
            <w:pPr>
              <w:spacing w:after="0"/>
              <w:rPr>
                <w:sz w:val="23"/>
                <w:szCs w:val="23"/>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(3,288 )</w:t>
            </w:r>
          </w:p>
        </w:tc>
        <w:tc>
          <w:tcPr>
            <w:tcW w:w="140" w:type="dxa"/>
            <w:vAlign w:val="bottom"/>
            <w:shd w:val="clear" w:color="auto" w:fill="CFF0FC"/>
          </w:tcPr>
          <w:p>
            <w:pPr>
              <w:spacing w:after="0"/>
              <w:rPr>
                <w:sz w:val="23"/>
                <w:szCs w:val="23"/>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(23,972 )</w:t>
            </w:r>
          </w:p>
        </w:tc>
        <w:tc>
          <w:tcPr>
            <w:tcW w:w="120" w:type="dxa"/>
            <w:vAlign w:val="bottom"/>
            <w:shd w:val="clear" w:color="auto" w:fill="CFF0FC"/>
          </w:tcPr>
          <w:p>
            <w:pPr>
              <w:spacing w:after="0"/>
              <w:rPr>
                <w:sz w:val="23"/>
                <w:szCs w:val="23"/>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(18,927 )</w:t>
            </w: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37,751</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37,498</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37,659</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37,546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Dilutive effect of common stock equivalents</w:t>
            </w:r>
          </w:p>
        </w:tc>
        <w:tc>
          <w:tcPr>
            <w:tcW w:w="220" w:type="dxa"/>
            <w:vAlign w:val="bottom"/>
          </w:tcPr>
          <w:p>
            <w:pPr>
              <w:spacing w:after="0"/>
              <w:rPr>
                <w:sz w:val="20"/>
                <w:szCs w:val="20"/>
                <w:color w:val="auto"/>
              </w:rPr>
            </w:pPr>
          </w:p>
        </w:tc>
        <w:tc>
          <w:tcPr>
            <w:tcW w:w="13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4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top w:val="single" w:sz="8" w:color="auto"/>
              <w:bottom w:val="single" w:sz="8" w:color="auto"/>
            </w:tcBorders>
            <w:shd w:val="clear" w:color="auto" w:fill="CFF0FC"/>
          </w:tcPr>
          <w:p>
            <w:pPr>
              <w:spacing w:after="0"/>
              <w:rPr>
                <w:sz w:val="24"/>
                <w:szCs w:val="24"/>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37,751</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spacing w:after="0"/>
              <w:rPr>
                <w:sz w:val="24"/>
                <w:szCs w:val="24"/>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37,498</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spacing w:after="0"/>
              <w:rPr>
                <w:sz w:val="24"/>
                <w:szCs w:val="24"/>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37,659</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spacing w:after="0"/>
              <w:rPr>
                <w:sz w:val="24"/>
                <w:szCs w:val="24"/>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37,546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loss per share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(0.16 )</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(0.09 )</w:t>
            </w: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(0.64 )</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(0.50 )</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loss per share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(0.16 )</w:t>
            </w:r>
          </w:p>
        </w:tc>
        <w:tc>
          <w:tcPr>
            <w:tcW w:w="14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(0.09 )</w:t>
            </w:r>
          </w:p>
        </w:tc>
        <w:tc>
          <w:tcPr>
            <w:tcW w:w="14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(0.64 )</w:t>
            </w:r>
          </w:p>
        </w:tc>
        <w:tc>
          <w:tcPr>
            <w:tcW w:w="12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(0.50 )</w:t>
            </w:r>
          </w:p>
        </w:tc>
        <w:tc>
          <w:tcPr>
            <w:tcW w:w="0" w:type="dxa"/>
            <w:vAlign w:val="bottom"/>
          </w:tcPr>
          <w:p>
            <w:pPr>
              <w:spacing w:after="0"/>
              <w:rPr>
                <w:sz w:val="1"/>
                <w:szCs w:val="1"/>
                <w:color w:val="auto"/>
              </w:rPr>
            </w:pPr>
          </w:p>
        </w:tc>
      </w:tr>
      <w:tr>
        <w:trPr>
          <w:trHeight w:val="196"/>
        </w:trPr>
        <w:tc>
          <w:tcPr>
            <w:tcW w:w="5400" w:type="dxa"/>
            <w:vAlign w:val="bottom"/>
            <w:tcBorders>
              <w:top w:val="single" w:sz="8" w:color="CFF0FC"/>
            </w:tcBorders>
          </w:tcPr>
          <w:p>
            <w:pPr>
              <w:ind w:left="20"/>
              <w:spacing w:after="0" w:line="195" w:lineRule="exact"/>
              <w:rPr>
                <w:sz w:val="20"/>
                <w:szCs w:val="20"/>
                <w:color w:val="auto"/>
              </w:rPr>
            </w:pPr>
            <w:r>
              <w:rPr>
                <w:rFonts w:ascii="Times New Roman" w:cs="Times New Roman" w:eastAsia="Times New Roman" w:hAnsi="Times New Roman"/>
                <w:sz w:val="18"/>
                <w:szCs w:val="18"/>
                <w:color w:val="auto"/>
              </w:rPr>
              <w:t>Restricted stock units considered anti-dilutive and excluded in the</w:t>
            </w: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2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2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calculation</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4226560</wp:posOffset>
            </wp:positionH>
            <wp:positionV relativeFrom="paragraph">
              <wp:posOffset>-1326515</wp:posOffset>
            </wp:positionV>
            <wp:extent cx="768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4226560</wp:posOffset>
            </wp:positionH>
            <wp:positionV relativeFrom="paragraph">
              <wp:posOffset>-1309370</wp:posOffset>
            </wp:positionV>
            <wp:extent cx="768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-1326515</wp:posOffset>
            </wp:positionV>
            <wp:extent cx="768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-1309370</wp:posOffset>
            </wp:positionV>
            <wp:extent cx="768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-1326515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-1309370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-1326515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-1309370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4226560</wp:posOffset>
            </wp:positionH>
            <wp:positionV relativeFrom="paragraph">
              <wp:posOffset>-675640</wp:posOffset>
            </wp:positionV>
            <wp:extent cx="768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4226560</wp:posOffset>
            </wp:positionH>
            <wp:positionV relativeFrom="paragraph">
              <wp:posOffset>-658495</wp:posOffset>
            </wp:positionV>
            <wp:extent cx="768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-675640</wp:posOffset>
            </wp:positionV>
            <wp:extent cx="768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-658495</wp:posOffset>
            </wp:positionV>
            <wp:extent cx="768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-675640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-658495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-675640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-658495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4226560</wp:posOffset>
            </wp:positionH>
            <wp:positionV relativeFrom="paragraph">
              <wp:posOffset>-316230</wp:posOffset>
            </wp:positionV>
            <wp:extent cx="768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4226560</wp:posOffset>
            </wp:positionH>
            <wp:positionV relativeFrom="paragraph">
              <wp:posOffset>-299085</wp:posOffset>
            </wp:positionV>
            <wp:extent cx="768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-316230</wp:posOffset>
            </wp:positionV>
            <wp:extent cx="768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-299085</wp:posOffset>
            </wp:positionV>
            <wp:extent cx="768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-316230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-299085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right="8800" w:firstLine="8"/>
        <w:spacing w:after="0" w:line="377" w:lineRule="auto"/>
        <w:tabs>
          <w:tab w:leader="none" w:pos="33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Stock-Based Compensation</w:t>
      </w:r>
    </w:p>
    <w:p>
      <w:pPr>
        <w:spacing w:after="0" w:line="1"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During the 13 and 26 weeks ended August 3, 2024, the Company recognized total stock-based compensation expense of $1,217 and $2,391, respectively. During the 13 and 26 weeks ended July 29, 2023, the Company recognized total stock-based compensation expense of $1,126 and $2,376, respectively. Compensation expense related to the Company’s stock-based payment awards is recognized in selling, general, and administrative expenses in the condensed consolidated statements of operations.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Plans</w:t>
      </w:r>
    </w:p>
    <w:p>
      <w:pPr>
        <w:spacing w:after="0" w:line="121"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8"/>
          <w:szCs w:val="18"/>
          <w:color w:val="auto"/>
        </w:rPr>
        <w:t>As of August 3, 2024, the number of shares available for awards under the Amended and Restated 2019 Performance Incentive Plan (as amended and restated, the “Amended 2019 Plan”) was 1,956. As of August 3, 2024, there were 2,586 unvested stock awards outstanding under the 2019 Plan.</w:t>
      </w:r>
    </w:p>
    <w:p>
      <w:pPr>
        <w:spacing w:after="0" w:line="5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Upon effectiveness of the Amended 2019 Plan on May 30, 2024, the date of the Company's 2024 Annual Meeting, the Company's authority to grant new awards under the Inducement Plan terminated, and a total of 545,293 shares of Common Stock that had been available for new award grants under the Inducement Plan immediately prior to the 2024 Annual Meeting became available for award grants under the Amended 2019 Plan. As provided in the Amended 2019 Plan, any shares of the Company's common stock subject to awards (other than stock options and stock appreciation rights) granted under the Inducement Plan that were outstanding and unvested immediately prior to the 2024 Annual Meeting that are forfeited, terminated, cancelled or otherwise reacquired by the Company without having become vested plus any shares that are withheld or reacquired by the Company to satisfy the tax withholding obligations related to any awards (other than stock options and stock appreciation rights) granted under the Inducement Plan that were outstanding immediately prior to the 2024 Annual Meeting will be available for award grant purposes under the Amended 2019 Plan. As of the date of the 2024 Annual Meeting, a total of 454,707 shares were subject to awards then outstanding under the Inducement Plan.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2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The Company also maintains an Amended and Rested Employee Stock Purchase Plan (the “ESPP”) that was approved by the Company’s stockholders in fiscal year 2015, under which 1,600 shares of common stock were authorized. During the 13 weeks ended August 3, 2024, 101 shares were issued under the ESPP and, as of August 3, 2024, the number of shares available for issuance was 827.</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Nonvested Performance-Based Stock Awards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13 weeks ended August 3, 2024, the Company did not issue any nonvested performance-based stock awards to employees. During the 26 weeks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August 3, 2024, the Company issued 874 nonvested performance-based stock awards to employees at a weighted average grant date fair value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$3.09 per share. The nonvested performance-based stock awards issued to employees vest in full on the third anniversary of the grant date. The number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issued is contingent on management achieving a fiscal year 2024 performance target for earnings before interest, taxes, depreciation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expenses. If a minimum threshold performance target is not achieved, no shares will vest. The maximum number of shares subject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award is 874. Following the end of the performance period for fiscal year 2024, the number of shares eligible to vest, based on actual performance, will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fixed and vesting will then be subject to each employee’s continued employment over the remaining service period.</w:t>
      </w:r>
    </w:p>
    <w:p>
      <w:pPr>
        <w:spacing w:after="0" w:line="20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During the 13 weeks ended July 29, 2023, the Company did not issue any nonvested performance-based stock awards to employees. During the 26 weeks ended July 29, 2023, the Company issued 36 nonvested performance-based stock awards to employees at a weighted average grant date fair value of $8.40 per share. The nonvested performance-based stock awards issued to employees vest in full on the third anniversary of the grant date. The number of shares issued is contingent on management achieving fiscal year 2023, 2024, and 2025 performance targets for total return on invested capital and total operating income percentage. If minimum threshold performance targets are not achieved, no shares will vest. The maximum number of shares subject to the award is 72, and the “target” number of shares subject to the award is 36 as reported below. Following the end of the performance period (fiscal years 2023, 2024, and 2025), the number of shares eligible to vest, based on actual performance, will be fixed and vesting will then be subject to each employee’s continued employment over the remaining service period.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rollforward of outstanding nonvested performance-based stock awards (per share amounts are not in thousands):</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47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47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grant-date</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4720" w:type="dxa"/>
            <w:vAlign w:val="bottom"/>
          </w:tcPr>
          <w:p>
            <w:pPr>
              <w:spacing w:after="0"/>
              <w:rPr>
                <w:sz w:val="16"/>
                <w:szCs w:val="16"/>
                <w:color w:val="auto"/>
              </w:rPr>
            </w:pPr>
          </w:p>
        </w:tc>
        <w:tc>
          <w:tcPr>
            <w:tcW w:w="3020" w:type="dxa"/>
            <w:vAlign w:val="bottom"/>
            <w:tcBorders>
              <w:bottom w:val="single" w:sz="8" w:color="auto"/>
            </w:tcBorders>
            <w:gridSpan w:val="2"/>
          </w:tcPr>
          <w:p>
            <w:pPr>
              <w:jc w:val="right"/>
              <w:ind w:right="1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4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6"/>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February 3, 2024</w:t>
            </w:r>
          </w:p>
        </w:tc>
        <w:tc>
          <w:tcPr>
            <w:tcW w:w="3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80" w:type="dxa"/>
            <w:vAlign w:val="bottom"/>
            <w:gridSpan w:val="2"/>
            <w:shd w:val="clear" w:color="auto" w:fill="CFF0FC"/>
          </w:tcPr>
          <w:p>
            <w:pPr>
              <w:jc w:val="right"/>
              <w:ind w:right="45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shd w:val="clear" w:color="auto" w:fill="CFF0FC"/>
          </w:tcPr>
          <w:p>
            <w:pPr>
              <w:spacing w:after="0"/>
              <w:rPr>
                <w:sz w:val="20"/>
                <w:szCs w:val="20"/>
                <w:color w:val="auto"/>
              </w:rPr>
            </w:pPr>
          </w:p>
        </w:tc>
      </w:tr>
      <w:tr>
        <w:trPr>
          <w:trHeight w:val="238"/>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Grants</w:t>
            </w:r>
          </w:p>
        </w:tc>
        <w:tc>
          <w:tcPr>
            <w:tcW w:w="3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20"/>
                <w:szCs w:val="20"/>
                <w:color w:val="auto"/>
              </w:rPr>
            </w:pPr>
          </w:p>
        </w:tc>
      </w:tr>
      <w:tr>
        <w:trPr>
          <w:trHeight w:val="247"/>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3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3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76"/>
        </w:trPr>
        <w:tc>
          <w:tcPr>
            <w:tcW w:w="4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August 3, 2024</w:t>
            </w:r>
          </w:p>
        </w:tc>
        <w:tc>
          <w:tcPr>
            <w:tcW w:w="30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44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auto"/>
            </w:tcBorders>
            <w:shd w:val="clear" w:color="auto" w:fill="CFF0FC"/>
          </w:tcPr>
          <w:p>
            <w:pPr>
              <w:jc w:val="right"/>
              <w:ind w:right="45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365"/>
        </w:trPr>
        <w:tc>
          <w:tcPr>
            <w:tcW w:w="47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5"/>
        </w:trPr>
        <w:tc>
          <w:tcPr>
            <w:tcW w:w="47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75"/>
        </w:trPr>
        <w:tc>
          <w:tcPr>
            <w:tcW w:w="47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grant-date</w:t>
            </w:r>
          </w:p>
        </w:tc>
      </w:tr>
      <w:tr>
        <w:trPr>
          <w:trHeight w:val="187"/>
        </w:trPr>
        <w:tc>
          <w:tcPr>
            <w:tcW w:w="47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3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r>
      <w:tr>
        <w:trPr>
          <w:trHeight w:val="236"/>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January 28, 2023</w:t>
            </w:r>
          </w:p>
        </w:tc>
        <w:tc>
          <w:tcPr>
            <w:tcW w:w="29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7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shd w:val="clear" w:color="auto" w:fill="CFF0FC"/>
          </w:tcPr>
          <w:p>
            <w:pPr>
              <w:spacing w:after="0"/>
              <w:rPr>
                <w:sz w:val="20"/>
                <w:szCs w:val="20"/>
                <w:color w:val="auto"/>
              </w:rPr>
            </w:pPr>
          </w:p>
        </w:tc>
      </w:tr>
      <w:tr>
        <w:trPr>
          <w:trHeight w:val="238"/>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Grants</w:t>
            </w:r>
          </w:p>
        </w:tc>
        <w:tc>
          <w:tcPr>
            <w:tcW w:w="2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Pr>
          <w:p>
            <w:pPr>
              <w:spacing w:after="0"/>
              <w:rPr>
                <w:sz w:val="20"/>
                <w:szCs w:val="20"/>
                <w:color w:val="auto"/>
              </w:rPr>
            </w:pPr>
          </w:p>
        </w:tc>
      </w:tr>
      <w:tr>
        <w:trPr>
          <w:trHeight w:val="247"/>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29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125"/>
              <w:spacing w:after="0"/>
              <w:rPr>
                <w:sz w:val="20"/>
                <w:szCs w:val="20"/>
                <w:color w:val="auto"/>
              </w:rPr>
            </w:pPr>
            <w:r>
              <w:rPr>
                <w:rFonts w:ascii="Times New Roman" w:cs="Times New Roman" w:eastAsia="Times New Roman" w:hAnsi="Times New Roman"/>
                <w:sz w:val="18"/>
                <w:szCs w:val="18"/>
                <w:color w:val="auto"/>
              </w:rPr>
              <w:t>(64 )</w:t>
            </w:r>
          </w:p>
        </w:tc>
        <w:tc>
          <w:tcPr>
            <w:tcW w:w="4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00" w:type="dxa"/>
            <w:vAlign w:val="bottom"/>
            <w:shd w:val="clear" w:color="auto" w:fill="CFF0FC"/>
          </w:tcPr>
          <w:p>
            <w:pPr>
              <w:spacing w:after="0"/>
              <w:rPr>
                <w:sz w:val="21"/>
                <w:szCs w:val="21"/>
                <w:color w:val="auto"/>
              </w:rPr>
            </w:pPr>
          </w:p>
        </w:tc>
      </w:tr>
      <w:tr>
        <w:trPr>
          <w:trHeight w:val="238"/>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gridSpan w:val="2"/>
          </w:tcPr>
          <w:p>
            <w:pPr>
              <w:jc w:val="right"/>
              <w:ind w:right="125"/>
              <w:spacing w:after="0"/>
              <w:rPr>
                <w:sz w:val="20"/>
                <w:szCs w:val="20"/>
                <w:color w:val="auto"/>
              </w:rPr>
            </w:pPr>
            <w:r>
              <w:rPr>
                <w:rFonts w:ascii="Times New Roman" w:cs="Times New Roman" w:eastAsia="Times New Roman" w:hAnsi="Times New Roman"/>
                <w:sz w:val="18"/>
                <w:szCs w:val="18"/>
                <w:color w:val="auto"/>
              </w:rPr>
              <w:t>(221 )</w:t>
            </w:r>
          </w:p>
        </w:tc>
        <w:tc>
          <w:tcPr>
            <w:tcW w:w="4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20"/>
                <w:szCs w:val="20"/>
                <w:color w:val="auto"/>
              </w:rPr>
            </w:pPr>
          </w:p>
        </w:tc>
      </w:tr>
      <w:tr>
        <w:trPr>
          <w:trHeight w:val="276"/>
        </w:trPr>
        <w:tc>
          <w:tcPr>
            <w:tcW w:w="4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July 29, 2023</w:t>
            </w:r>
          </w:p>
        </w:tc>
        <w:tc>
          <w:tcPr>
            <w:tcW w:w="294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top w:val="single" w:sz="8" w:color="auto"/>
              <w:bottom w:val="single" w:sz="8" w:color="auto"/>
            </w:tcBorders>
            <w:shd w:val="clear" w:color="auto" w:fill="CFF0FC"/>
          </w:tcPr>
          <w:p>
            <w:pPr>
              <w:spacing w:after="0"/>
              <w:rPr>
                <w:sz w:val="24"/>
                <w:szCs w:val="24"/>
                <w:color w:val="auto"/>
              </w:rPr>
            </w:pPr>
          </w:p>
        </w:tc>
        <w:tc>
          <w:tcPr>
            <w:tcW w:w="440" w:type="dxa"/>
            <w:vAlign w:val="bottom"/>
            <w:tcBorders>
              <w:top w:val="single" w:sz="8" w:color="auto"/>
              <w:bottom w:val="single" w:sz="8" w:color="auto"/>
            </w:tcBorders>
            <w:shd w:val="clear" w:color="auto" w:fill="CFF0FC"/>
          </w:tcPr>
          <w:p>
            <w:pPr>
              <w:spacing w:after="0"/>
              <w:rPr>
                <w:sz w:val="24"/>
                <w:szCs w:val="24"/>
                <w:color w:val="auto"/>
              </w:rPr>
            </w:pPr>
          </w:p>
        </w:tc>
        <w:tc>
          <w:tcPr>
            <w:tcW w:w="640" w:type="dxa"/>
            <w:vAlign w:val="bottom"/>
            <w:tcBorders>
              <w:top w:val="single" w:sz="8" w:color="auto"/>
              <w:bottom w:val="single" w:sz="8" w:color="auto"/>
            </w:tcBorders>
            <w:shd w:val="clear" w:color="auto" w:fill="CFF0FC"/>
          </w:tcPr>
          <w:p>
            <w:pPr>
              <w:spacing w:after="0"/>
              <w:rPr>
                <w:sz w:val="24"/>
                <w:szCs w:val="24"/>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8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jc w:val="center"/>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4919980</wp:posOffset>
            </wp:positionH>
            <wp:positionV relativeFrom="paragraph">
              <wp:posOffset>-1420495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4919980</wp:posOffset>
            </wp:positionH>
            <wp:positionV relativeFrom="paragraph">
              <wp:posOffset>-1403350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-1420495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-1403350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Nonvested Stock Unit Awards</w:t>
      </w:r>
    </w:p>
    <w:p>
      <w:pPr>
        <w:spacing w:after="0" w:line="12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During the 13 and 26 weeks ended August 3, 2024, the Company issued 267 and 1,354 nonvested stock units to employees and directors at a weighted average grant date fair value of $3.18 and $3.12 per share, respectively. The shares issued to employees of the Company vest over a three-year period with one third of the shares vesting on each anniversary of the grant date. The shares issued to directors of the Company vest over a 12-month period with one-twelfth of the shares vesting each month.</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During the 13 and 26 weeks ended July 29, 2023, the Company issued 153 and 675 nonvested stock units to employees and directors at a weighted average grant date fair value of $5.79 and $7.64 per share, respectively. The shares issued to employees of the Company vest over a three-year period with one third of the shares vesting on each anniversary of the grant date. The shares issued to directors of the Company vest over a 12-month period with one-twelfth of the shares vesting each month.</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rollforward of outstanding nonvested stock units (per share amounts are not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47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47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grant-date</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4720" w:type="dxa"/>
            <w:vAlign w:val="bottom"/>
          </w:tcPr>
          <w:p>
            <w:pPr>
              <w:spacing w:after="0"/>
              <w:rPr>
                <w:sz w:val="16"/>
                <w:szCs w:val="16"/>
                <w:color w:val="auto"/>
              </w:rPr>
            </w:pPr>
          </w:p>
        </w:tc>
        <w:tc>
          <w:tcPr>
            <w:tcW w:w="3460" w:type="dxa"/>
            <w:vAlign w:val="bottom"/>
            <w:gridSpan w:val="3"/>
          </w:tcPr>
          <w:p>
            <w:pPr>
              <w:jc w:val="right"/>
              <w:ind w:right="17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6"/>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February 3, 2024</w:t>
            </w:r>
          </w:p>
        </w:tc>
        <w:tc>
          <w:tcPr>
            <w:tcW w:w="30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440" w:type="dxa"/>
            <w:vAlign w:val="bottom"/>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shd w:val="clear" w:color="auto" w:fill="CFF0FC"/>
          </w:tcPr>
          <w:p>
            <w:pPr>
              <w:spacing w:after="0"/>
              <w:rPr>
                <w:sz w:val="20"/>
                <w:szCs w:val="20"/>
                <w:color w:val="auto"/>
              </w:rPr>
            </w:pPr>
          </w:p>
        </w:tc>
      </w:tr>
      <w:tr>
        <w:trPr>
          <w:trHeight w:val="238"/>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Grants</w:t>
            </w:r>
          </w:p>
        </w:tc>
        <w:tc>
          <w:tcPr>
            <w:tcW w:w="3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0"/>
                <w:szCs w:val="20"/>
                <w:color w:val="auto"/>
              </w:rPr>
            </w:pPr>
          </w:p>
        </w:tc>
      </w:tr>
      <w:tr>
        <w:trPr>
          <w:trHeight w:val="247"/>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346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(43 )</w:t>
            </w:r>
          </w:p>
        </w:tc>
        <w:tc>
          <w:tcPr>
            <w:tcW w:w="6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shd w:val="clear" w:color="auto" w:fill="CFF0FC"/>
          </w:tcPr>
          <w:p>
            <w:pPr>
              <w:spacing w:after="0"/>
              <w:rPr>
                <w:sz w:val="21"/>
                <w:szCs w:val="21"/>
                <w:color w:val="auto"/>
              </w:rPr>
            </w:pPr>
          </w:p>
        </w:tc>
      </w:tr>
      <w:tr>
        <w:trPr>
          <w:trHeight w:val="238"/>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34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(232 )</w:t>
            </w: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Pr>
          <w:p>
            <w:pPr>
              <w:spacing w:after="0"/>
              <w:rPr>
                <w:sz w:val="20"/>
                <w:szCs w:val="20"/>
                <w:color w:val="auto"/>
              </w:rPr>
            </w:pPr>
          </w:p>
        </w:tc>
      </w:tr>
      <w:tr>
        <w:trPr>
          <w:trHeight w:val="276"/>
        </w:trPr>
        <w:tc>
          <w:tcPr>
            <w:tcW w:w="4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August 3, 2024</w:t>
            </w:r>
          </w:p>
        </w:tc>
        <w:tc>
          <w:tcPr>
            <w:tcW w:w="30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44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top w:val="single" w:sz="8" w:color="auto"/>
              <w:bottom w:val="single" w:sz="8" w:color="auto"/>
            </w:tcBorders>
            <w:shd w:val="clear" w:color="auto" w:fill="CFF0FC"/>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spacing w:after="0"/>
              <w:rPr>
                <w:sz w:val="24"/>
                <w:szCs w:val="24"/>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365"/>
        </w:trPr>
        <w:tc>
          <w:tcPr>
            <w:tcW w:w="47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5"/>
        </w:trPr>
        <w:tc>
          <w:tcPr>
            <w:tcW w:w="47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75"/>
        </w:trPr>
        <w:tc>
          <w:tcPr>
            <w:tcW w:w="47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grant-date</w:t>
            </w:r>
          </w:p>
        </w:tc>
      </w:tr>
      <w:tr>
        <w:trPr>
          <w:trHeight w:val="187"/>
        </w:trPr>
        <w:tc>
          <w:tcPr>
            <w:tcW w:w="47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3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r>
      <w:tr>
        <w:trPr>
          <w:trHeight w:val="236"/>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January 28, 2023</w:t>
            </w:r>
          </w:p>
        </w:tc>
        <w:tc>
          <w:tcPr>
            <w:tcW w:w="29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7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shd w:val="clear" w:color="auto" w:fill="CFF0FC"/>
          </w:tcPr>
          <w:p>
            <w:pPr>
              <w:spacing w:after="0"/>
              <w:rPr>
                <w:sz w:val="20"/>
                <w:szCs w:val="20"/>
                <w:color w:val="auto"/>
              </w:rPr>
            </w:pPr>
          </w:p>
        </w:tc>
      </w:tr>
      <w:tr>
        <w:trPr>
          <w:trHeight w:val="238"/>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Grants</w:t>
            </w:r>
          </w:p>
        </w:tc>
        <w:tc>
          <w:tcPr>
            <w:tcW w:w="2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tcPr>
          <w:p>
            <w:pPr>
              <w:spacing w:after="0"/>
              <w:rPr>
                <w:sz w:val="20"/>
                <w:szCs w:val="20"/>
                <w:color w:val="auto"/>
              </w:rPr>
            </w:pPr>
          </w:p>
        </w:tc>
      </w:tr>
      <w:tr>
        <w:trPr>
          <w:trHeight w:val="247"/>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29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125"/>
              <w:spacing w:after="0"/>
              <w:rPr>
                <w:sz w:val="20"/>
                <w:szCs w:val="20"/>
                <w:color w:val="auto"/>
              </w:rPr>
            </w:pPr>
            <w:r>
              <w:rPr>
                <w:rFonts w:ascii="Times New Roman" w:cs="Times New Roman" w:eastAsia="Times New Roman" w:hAnsi="Times New Roman"/>
                <w:sz w:val="18"/>
                <w:szCs w:val="18"/>
                <w:color w:val="auto"/>
              </w:rPr>
              <w:t>(231 )</w:t>
            </w:r>
          </w:p>
        </w:tc>
        <w:tc>
          <w:tcPr>
            <w:tcW w:w="4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shd w:val="clear" w:color="auto" w:fill="CFF0FC"/>
          </w:tcPr>
          <w:p>
            <w:pPr>
              <w:spacing w:after="0"/>
              <w:rPr>
                <w:sz w:val="21"/>
                <w:szCs w:val="21"/>
                <w:color w:val="auto"/>
              </w:rPr>
            </w:pPr>
          </w:p>
        </w:tc>
      </w:tr>
      <w:tr>
        <w:trPr>
          <w:trHeight w:val="238"/>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gridSpan w:val="2"/>
          </w:tcPr>
          <w:p>
            <w:pPr>
              <w:jc w:val="right"/>
              <w:ind w:right="125"/>
              <w:spacing w:after="0"/>
              <w:rPr>
                <w:sz w:val="20"/>
                <w:szCs w:val="20"/>
                <w:color w:val="auto"/>
              </w:rPr>
            </w:pPr>
            <w:r>
              <w:rPr>
                <w:rFonts w:ascii="Times New Roman" w:cs="Times New Roman" w:eastAsia="Times New Roman" w:hAnsi="Times New Roman"/>
                <w:sz w:val="18"/>
                <w:szCs w:val="18"/>
                <w:color w:val="auto"/>
              </w:rPr>
              <w:t>(240 )</w:t>
            </w:r>
          </w:p>
        </w:tc>
        <w:tc>
          <w:tcPr>
            <w:tcW w:w="4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20"/>
                <w:szCs w:val="20"/>
                <w:color w:val="auto"/>
              </w:rPr>
            </w:pPr>
          </w:p>
        </w:tc>
      </w:tr>
      <w:tr>
        <w:trPr>
          <w:trHeight w:val="276"/>
        </w:trPr>
        <w:tc>
          <w:tcPr>
            <w:tcW w:w="4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July 29, 2023</w:t>
            </w:r>
          </w:p>
        </w:tc>
        <w:tc>
          <w:tcPr>
            <w:tcW w:w="294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top w:val="single" w:sz="8" w:color="auto"/>
              <w:bottom w:val="single" w:sz="8" w:color="auto"/>
            </w:tcBorders>
            <w:shd w:val="clear" w:color="auto" w:fill="CFF0FC"/>
          </w:tcPr>
          <w:p>
            <w:pPr>
              <w:spacing w:after="0"/>
              <w:rPr>
                <w:sz w:val="24"/>
                <w:szCs w:val="24"/>
                <w:color w:val="auto"/>
              </w:rPr>
            </w:pPr>
          </w:p>
        </w:tc>
        <w:tc>
          <w:tcPr>
            <w:tcW w:w="440" w:type="dxa"/>
            <w:vAlign w:val="bottom"/>
            <w:tcBorders>
              <w:top w:val="single" w:sz="8" w:color="auto"/>
              <w:bottom w:val="single" w:sz="8" w:color="auto"/>
            </w:tcBorders>
            <w:shd w:val="clear" w:color="auto" w:fill="CFF0FC"/>
          </w:tcPr>
          <w:p>
            <w:pPr>
              <w:spacing w:after="0"/>
              <w:rPr>
                <w:sz w:val="24"/>
                <w:szCs w:val="24"/>
                <w:color w:val="auto"/>
              </w:rPr>
            </w:pPr>
          </w:p>
        </w:tc>
        <w:tc>
          <w:tcPr>
            <w:tcW w:w="640" w:type="dxa"/>
            <w:vAlign w:val="bottom"/>
            <w:tcBorders>
              <w:top w:val="single" w:sz="8" w:color="auto"/>
              <w:bottom w:val="single" w:sz="8" w:color="auto"/>
            </w:tcBorders>
            <w:shd w:val="clear" w:color="auto" w:fill="CFF0FC"/>
          </w:tcPr>
          <w:p>
            <w:pPr>
              <w:spacing w:after="0"/>
              <w:rPr>
                <w:sz w:val="24"/>
                <w:szCs w:val="24"/>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28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jc w:val="center"/>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4919980</wp:posOffset>
            </wp:positionH>
            <wp:positionV relativeFrom="paragraph">
              <wp:posOffset>-1420495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4919980</wp:posOffset>
            </wp:positionH>
            <wp:positionV relativeFrom="paragraph">
              <wp:posOffset>-1403350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-1420495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-1403350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right="8340" w:firstLine="8"/>
        <w:spacing w:after="0" w:line="377" w:lineRule="auto"/>
        <w:tabs>
          <w:tab w:leader="none" w:pos="34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Legal Matters</w:t>
      </w:r>
    </w:p>
    <w:p>
      <w:pPr>
        <w:spacing w:after="0" w:line="1"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The Company is involved in various legal matters generally incidental to its business. After discussion with legal counsel, management is not aware of any matters for which the likelihood of a loss is probable and reasonably estimable and which could have a material impact on its consolidated financial condition, liquidity, or results of operations.</w:t>
      </w:r>
    </w:p>
    <w:p>
      <w:pPr>
        <w:spacing w:after="0" w:line="69" w:lineRule="exact"/>
        <w:rPr>
          <w:sz w:val="20"/>
          <w:szCs w:val="20"/>
          <w:color w:val="auto"/>
        </w:rPr>
      </w:pPr>
    </w:p>
    <w:p>
      <w:pPr>
        <w:jc w:val="both"/>
        <w:ind w:right="60"/>
        <w:spacing w:after="0" w:line="272" w:lineRule="auto"/>
        <w:rPr>
          <w:sz w:val="20"/>
          <w:szCs w:val="20"/>
          <w:color w:val="auto"/>
        </w:rPr>
      </w:pPr>
      <w:r>
        <w:rPr>
          <w:rFonts w:ascii="Times New Roman" w:cs="Times New Roman" w:eastAsia="Times New Roman" w:hAnsi="Times New Roman"/>
          <w:sz w:val="17"/>
          <w:szCs w:val="17"/>
          <w:color w:val="auto"/>
        </w:rPr>
        <w:t xml:space="preserve">On January 22, 2024, Jon Kogut filed a putative class action lawsuit against the Company and the members of its Board of Directors in the Delaware Court of Chancery (the “2024 Delaware Litigation”). The lawsuit asserts claims on behalf of a putative class comprised of all stockholders other than defendants and any current directors or officers of the Company and is captioned </w:t>
      </w:r>
      <w:r>
        <w:rPr>
          <w:rFonts w:ascii="Times New Roman" w:cs="Times New Roman" w:eastAsia="Times New Roman" w:hAnsi="Times New Roman"/>
          <w:sz w:val="17"/>
          <w:szCs w:val="17"/>
          <w:i w:val="1"/>
          <w:iCs w:val="1"/>
          <w:color w:val="auto"/>
        </w:rPr>
        <w:t>Kogut v. Bejar, et al.</w:t>
      </w:r>
      <w:r>
        <w:rPr>
          <w:rFonts w:ascii="Times New Roman" w:cs="Times New Roman" w:eastAsia="Times New Roman" w:hAnsi="Times New Roman"/>
          <w:sz w:val="17"/>
          <w:szCs w:val="17"/>
          <w:color w:val="auto"/>
        </w:rPr>
        <w:t>, C.A. No. 2024-0055-MTZ (Del. Ch.). In his complaint, Mr.</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Kogut contends that certain provisions in the Company’s advance notice bylaws (the “Challenged Provisions”) are invalid and void and that the members of the Board have breached their fiduciary duty of loyalty by adopting and maintaining the Challenged Provisions. In addition to seeking declaratory, equitable, and injunctive relief, Mr. Kogut seeks an award of attorneys’ fees and other costs and expenses on behalf of the putative class.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The discussion below contains forward-looking statements that involve risks and uncertainties. Our actual results could differ materially from those anticipated in these forward-looking statements as a result of various factors, including those which are discussed in the “Risk Factors” section in Part I., Item 1A. of our Fiscal 2023 Form 10-K. Also see “Special Note Regarding Forward-Looking Statements” preceding Part I. of this 10-Q. Additionally, our historical results are not necessarily indicative of the results that may be expected or achieved for any future period.</w:t>
      </w:r>
    </w:p>
    <w:p>
      <w:pPr>
        <w:spacing w:after="0" w:line="178" w:lineRule="exact"/>
        <w:rPr>
          <w:sz w:val="20"/>
          <w:szCs w:val="20"/>
          <w:color w:val="auto"/>
        </w:rPr>
      </w:pPr>
    </w:p>
    <w:p>
      <w:pPr>
        <w:ind w:right="760"/>
        <w:spacing w:after="0" w:line="28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and is qualified in its entirety by reference to, the unaudited condensed consolidated financial statements and the notes thereto included in this 10-Q.</w:t>
      </w:r>
    </w:p>
    <w:p>
      <w:pPr>
        <w:spacing w:after="0" w:line="1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We are an outdoor sporting goods retailer focused on meeting the everyday needs of the seasoned outdoor veteran, the first-time participant and everyone in between. Our mission is to provide outstanding gear and exceptional service to inspire outdoor memories.</w:t>
      </w:r>
    </w:p>
    <w:p>
      <w:pPr>
        <w:spacing w:after="0" w:line="163" w:lineRule="exact"/>
        <w:rPr>
          <w:sz w:val="20"/>
          <w:szCs w:val="20"/>
          <w:color w:val="auto"/>
        </w:rPr>
      </w:pPr>
    </w:p>
    <w:p>
      <w:pPr>
        <w:jc w:val="both"/>
        <w:ind w:right="220"/>
        <w:spacing w:after="0" w:line="265" w:lineRule="auto"/>
        <w:rPr>
          <w:sz w:val="20"/>
          <w:szCs w:val="20"/>
          <w:color w:val="auto"/>
        </w:rPr>
      </w:pPr>
      <w:r>
        <w:rPr>
          <w:rFonts w:ascii="Times New Roman" w:cs="Times New Roman" w:eastAsia="Times New Roman" w:hAnsi="Times New Roman"/>
          <w:sz w:val="18"/>
          <w:szCs w:val="18"/>
          <w:color w:val="auto"/>
        </w:rPr>
        <w:t>Our business was founded in 1986 as a single retail store in Midvale, Utah. Today, we operate 146 stores in 32 states, totaling approximately 5.4 million gross square feet. We also operate an e-commerce platform at www.sportsmans.com. We do not incorporate the information on or accessible through our website into this 10-Q, and you should not consider any information on, or that can be accessed through, our website as part of this 10-Q.</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stores and our e-commerce platform are aggregated into one operating and reportable segment.</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Impact of Macroeconomic Conditions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results and operations have been, and will continue to be, impacted by events outside of our control.</w:t>
      </w:r>
    </w:p>
    <w:p>
      <w:pPr>
        <w:spacing w:after="0" w:line="2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Global economic and business activities continue to face widespread macroeconomic uncertainties, including labor shortages, inflation and monetary supply shifts, high interest rates, recession risks and potential disruptions from the Russia-Ukraine conflict and rising global political tensions. Our results may also be impacted by the upcoming presidential election this year. In fiscal year 2023 and continuing into the first half of fiscal year 2024 our business was impacted by consumer inflationary pressures and recession concerns. As a result of our recent performance, we have taken steps to reduce our total inventory, implement cost reduction measures to reflect current sales trends and reduce investments in future new store openings. We currently do not plan to open any new stores during fiscal year 2024.</w:t>
      </w:r>
    </w:p>
    <w:p>
      <w:pPr>
        <w:spacing w:after="0" w:line="186"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We continue to actively monitor the impact of these macroeconomic factors on our financial condition, liquidity, operations, suppliers, industry and workforce. The extent of the impact of these factors on our operational and financial performance, including our ability to execute our business strategies and initiatives in the expected timeframe, will depend on future developments, and the impact on our customers, partners and employees, all of which are uncertain and cannot be predicted; however, any continued or renewed disruption resulting from these factors could negatively impact our business.</w:t>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229" w:lineRule="exact"/>
        <w:rPr>
          <w:sz w:val="20"/>
          <w:szCs w:val="20"/>
          <w:color w:val="auto"/>
        </w:rPr>
      </w:pPr>
    </w:p>
    <w:p>
      <w:pPr>
        <w:jc w:val="both"/>
        <w:ind w:right="340"/>
        <w:spacing w:after="0" w:line="265" w:lineRule="auto"/>
        <w:rPr>
          <w:sz w:val="20"/>
          <w:szCs w:val="20"/>
          <w:color w:val="auto"/>
        </w:rPr>
      </w:pPr>
      <w:r>
        <w:rPr>
          <w:rFonts w:ascii="Times New Roman" w:cs="Times New Roman" w:eastAsia="Times New Roman" w:hAnsi="Times New Roman"/>
          <w:sz w:val="18"/>
          <w:szCs w:val="18"/>
          <w:color w:val="auto"/>
        </w:rPr>
        <w:t>In assessing the performance of our business, we consider a variety of performance and financial measures. The key measures for determining how our business is performing are net sales, same store sales, gross margin, selling, general, and administrative expenses, income from operations and adjusted earnings before interest, taxes, depreciation and amortization (“Adjusted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 and Same Store Sales</w:t>
      </w:r>
    </w:p>
    <w:p>
      <w:pPr>
        <w:spacing w:after="0" w:line="13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Our net sales are primarily received from revenue generated in our stores and also include sales generated through our e-commerce platform. When measuring revenue generated from our stores, we review our same store sales as well as the performance of our stores that have not operated for a sufficient amount of time and include each in same store sales. We include net sales from a store in same store sales on the first day of the 13</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full fiscal month following the store’s grand opening or acquisition by us. We exclude sales from stores that were closed during the period from our same store sales calculation. We include net sales from e-commerce in our calculation of same store sales. For fiscal years consisting of 53 weeks, we exclude net sales during the 53</w:t>
      </w:r>
      <w:r>
        <w:rPr>
          <w:rFonts w:ascii="Times New Roman" w:cs="Times New Roman" w:eastAsia="Times New Roman" w:hAnsi="Times New Roman"/>
          <w:sz w:val="24"/>
          <w:szCs w:val="24"/>
          <w:color w:val="auto"/>
          <w:vertAlign w:val="superscript"/>
        </w:rPr>
        <w:t>rd</w:t>
      </w:r>
      <w:r>
        <w:rPr>
          <w:rFonts w:ascii="Times New Roman" w:cs="Times New Roman" w:eastAsia="Times New Roman" w:hAnsi="Times New Roman"/>
          <w:sz w:val="18"/>
          <w:szCs w:val="18"/>
          <w:color w:val="auto"/>
        </w:rPr>
        <w:t xml:space="preserve"> week from our calculation of same store sales. Some of our competitors and other retailers may calculate same store sales differently than we do. As a result, data regarding our same store sales may not be comparable to similar data made available by other retailers.</w:t>
      </w:r>
    </w:p>
    <w:p>
      <w:pPr>
        <w:spacing w:after="0" w:line="226"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8"/>
          <w:szCs w:val="18"/>
          <w:color w:val="auto"/>
        </w:rPr>
        <w:t>Measuring the change in year-over-year same store sales allows us to evaluate how our retail store base is performing. Various factors affect same store sales, including:</w:t>
      </w:r>
    </w:p>
    <w:p>
      <w:pPr>
        <w:spacing w:after="0" w:line="55" w:lineRule="exact"/>
        <w:rPr>
          <w:sz w:val="20"/>
          <w:szCs w:val="20"/>
          <w:color w:val="auto"/>
        </w:rPr>
      </w:pPr>
    </w:p>
    <w:p>
      <w:pPr>
        <w:ind w:left="1020" w:right="40" w:hanging="368"/>
        <w:spacing w:after="0" w:line="265"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factors, political trends, social unrest, inflationary pressures, recessionary trends, labor shortages, monetary supply shifts, high interest rates, tightening of credit markets, and potential disruptions from the ongoing Russia-Ukraine conflict and rising global political tensions and pandemics;</w:t>
      </w:r>
    </w:p>
    <w:p>
      <w:pPr>
        <w:spacing w:after="0" w:line="6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preferences, buying trends and overall economic trends;</w:t>
      </w:r>
    </w:p>
    <w:p>
      <w:pPr>
        <w:spacing w:after="0" w:line="116" w:lineRule="exact"/>
        <w:rPr>
          <w:rFonts w:ascii="Times New Roman" w:cs="Times New Roman" w:eastAsia="Times New Roman" w:hAnsi="Times New Roman"/>
          <w:sz w:val="18"/>
          <w:szCs w:val="18"/>
          <w:color w:val="auto"/>
        </w:rPr>
      </w:pPr>
    </w:p>
    <w:p>
      <w:pPr>
        <w:ind w:left="1020" w:right="140" w:hanging="368"/>
        <w:spacing w:after="0" w:line="28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anticipated changes to laws and government regulations related to some of the products we sell, in particular regulations relating to the sale of firearms and ammunition;</w:t>
      </w:r>
    </w:p>
    <w:p>
      <w:pPr>
        <w:spacing w:after="0" w:line="54"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respond effectively to local and regional trends and customer preferences;</w:t>
      </w:r>
    </w:p>
    <w:p>
      <w:pPr>
        <w:spacing w:after="0" w:line="116"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quality customer service that will increase our conversion of shoppers into paying customers;</w:t>
      </w:r>
    </w:p>
    <w:p>
      <w:pPr>
        <w:spacing w:after="0" w:line="116"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omni-channel strategy and our e-commerce platform;</w:t>
      </w:r>
    </w:p>
    <w:p>
      <w:pPr>
        <w:spacing w:after="0" w:line="116"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regional market of a store;</w:t>
      </w:r>
    </w:p>
    <w:p>
      <w:pPr>
        <w:spacing w:after="0" w:line="116"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atypical weather;</w:t>
      </w:r>
    </w:p>
    <w:p>
      <w:pPr>
        <w:spacing w:after="0" w:line="116"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introductions and changes in our product mix; and</w:t>
      </w:r>
    </w:p>
    <w:p>
      <w:pPr>
        <w:spacing w:after="0" w:line="116"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pricing and average ticket sales.</w:t>
      </w:r>
    </w:p>
    <w:p>
      <w:pPr>
        <w:spacing w:after="0" w:line="22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operate in a complex regulatory and legal environment that could negatively impact the demand for our products, which could significantly affect our operations and financial results. State, local and federal laws and regulations relating to products that we sell may change, sometimes significantly, as a result of political, economic or social events. For instance, in November 2022, the State of Oregon passed legislation that will, among other things, impose complex permitting and training requirements for the purchases of firearms. As a result, sales of firearms in Oregon may be halted or substantially diminished until such permitting and training programs are developed by the state, which may take a significant amount of time. If that were to occur, it could result in a substantial decline in our sales of firearms and related products and reduce traffic to our stores in Oregon, which could have a substantial impact on our sales and gross margin. A state court judge in Oregon ruled that the measure violates the Oregon state constitution. This ruling is currently being appealed in the Oregon Court of Appeals. The measure is also being challenged in a related case in federal court and is currently on appeal in the U.S. Court of Appeals for the Ninth Circuit. We currently operate eight stores in the State of Oregon.</w:t>
      </w:r>
    </w:p>
    <w:p>
      <w:pPr>
        <w:spacing w:after="0" w:line="226"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Opening new stores and acquiring store locations is also an important part of our long-term growth strategy. During fiscal year 2023, we opened 15 new stores. We currently do not plan to open any new stores during fiscal year 2024. We may deviate from this target if attractive opportunities are presented to open stores or acquire new store locations outside of our target growth rate.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 also have been scaling our e-commerce platform and increasing sales through our website, </w:t>
      </w:r>
      <w:r>
        <w:rPr>
          <w:rFonts w:ascii="Times New Roman" w:cs="Times New Roman" w:eastAsia="Times New Roman" w:hAnsi="Times New Roman"/>
          <w:sz w:val="18"/>
          <w:szCs w:val="18"/>
          <w:i w:val="1"/>
          <w:iCs w:val="1"/>
          <w:color w:val="auto"/>
        </w:rPr>
        <w:t>www.sportsmans.com</w:t>
      </w:r>
      <w:r>
        <w:rPr>
          <w:rFonts w:ascii="Times New Roman" w:cs="Times New Roman" w:eastAsia="Times New Roman" w:hAnsi="Times New Roman"/>
          <w:sz w:val="18"/>
          <w:szCs w:val="18"/>
          <w:color w:val="auto"/>
        </w:rPr>
        <w:t>.</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key drivers to increasing our total net sales include:</w:t>
      </w:r>
    </w:p>
    <w:p>
      <w:pPr>
        <w:spacing w:after="0" w:line="117" w:lineRule="exact"/>
        <w:rPr>
          <w:sz w:val="20"/>
          <w:szCs w:val="20"/>
          <w:color w:val="auto"/>
        </w:rPr>
      </w:pPr>
    </w:p>
    <w:p>
      <w:pPr>
        <w:ind w:left="840" w:hanging="368"/>
        <w:spacing w:after="0"/>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and improving same store sales in our existing markets;</w:t>
      </w:r>
    </w:p>
    <w:p>
      <w:pPr>
        <w:spacing w:after="0" w:line="116" w:lineRule="exact"/>
        <w:rPr>
          <w:rFonts w:ascii="Times New Roman" w:cs="Times New Roman" w:eastAsia="Times New Roman" w:hAnsi="Times New Roman"/>
          <w:sz w:val="18"/>
          <w:szCs w:val="18"/>
          <w:color w:val="auto"/>
        </w:rPr>
      </w:pPr>
    </w:p>
    <w:p>
      <w:pPr>
        <w:ind w:left="840" w:hanging="368"/>
        <w:spacing w:after="0"/>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total gross square footage by opening new stores and through strategic acquisitions;</w:t>
      </w:r>
    </w:p>
    <w:p>
      <w:pPr>
        <w:spacing w:after="0" w:line="116" w:lineRule="exact"/>
        <w:rPr>
          <w:rFonts w:ascii="Times New Roman" w:cs="Times New Roman" w:eastAsia="Times New Roman" w:hAnsi="Times New Roman"/>
          <w:sz w:val="18"/>
          <w:szCs w:val="18"/>
          <w:color w:val="auto"/>
        </w:rPr>
      </w:pPr>
    </w:p>
    <w:p>
      <w:pPr>
        <w:ind w:left="840" w:right="140" w:hanging="368"/>
        <w:spacing w:after="0" w:line="281" w:lineRule="auto"/>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customer visits to our stores and improving our conversion rate through focused marketing efforts and continually high standards of customer service;</w:t>
      </w:r>
    </w:p>
    <w:p>
      <w:pPr>
        <w:spacing w:after="0" w:line="54" w:lineRule="exact"/>
        <w:rPr>
          <w:rFonts w:ascii="Times New Roman" w:cs="Times New Roman" w:eastAsia="Times New Roman" w:hAnsi="Times New Roman"/>
          <w:sz w:val="18"/>
          <w:szCs w:val="18"/>
          <w:color w:val="auto"/>
        </w:rPr>
      </w:pPr>
    </w:p>
    <w:p>
      <w:pPr>
        <w:ind w:left="840" w:right="220" w:hanging="368"/>
        <w:spacing w:after="0" w:line="281" w:lineRule="auto"/>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omni-channel capabilities through larger assortment and inventory, expanded content and expertise and better user experience; and</w:t>
      </w:r>
    </w:p>
    <w:p>
      <w:pPr>
        <w:spacing w:after="0" w:line="54" w:lineRule="exact"/>
        <w:rPr>
          <w:rFonts w:ascii="Times New Roman" w:cs="Times New Roman" w:eastAsia="Times New Roman" w:hAnsi="Times New Roman"/>
          <w:sz w:val="18"/>
          <w:szCs w:val="18"/>
          <w:color w:val="auto"/>
        </w:rPr>
      </w:pPr>
    </w:p>
    <w:p>
      <w:pPr>
        <w:ind w:left="840" w:hanging="368"/>
        <w:spacing w:after="0"/>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our loyalty and credit card programs.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Margin</w:t>
      </w:r>
    </w:p>
    <w:p>
      <w:pPr>
        <w:spacing w:after="0" w:line="121"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Gross profit consists of our net sales less cost of goods sold. Gross margin measures our gross profit as a percentage of net sales. Our cost of goods sold primarily consists of merchandise acquisition costs, including freight-in costs, shipping costs, payment term discounts received from the vendor and vendor allowances and rebates associated directly with merchandise and shipping costs related to e-commerce sales.</w:t>
      </w:r>
    </w:p>
    <w:p>
      <w:pPr>
        <w:spacing w:after="0" w:line="20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believe the key drivers to improving our gross margin are increasing the product mix to higher margin products, particularly apparel and footwear, increasing foot traffic within our stores and traffic to our website, improving buying opportunities with our vendor partners and coordinating pricing strategies among our stores and our merchandise group. Our ability to properly manage our inventory can also impact our gross margin. Successful inventory management ensures we have sufficient high margin products in stock at all times to meet customer demand, while overstocking of items could lead to markdowns in order to help a product sell. During fiscal year 2023, we commenced an effort to reduce our inventory and initiated various strategic promotional efforts as part of this plan, which impacted our gross margins during fiscal year 2023. At the end of fiscal year 2023, we completed our inventory reduction plan. During the first half of fiscal year 2024 our gross margins have begun to return to rates more in line with historical numbers when compared to the second half of fiscal year 2023. We believe that the overall growth of our business can also help improve our gross margins, because increased merchandise volumes will enable us to maintain our strong relationships with our vendors. If we see significant declines in sales or increases in overstocked inventory, we may experience a decline in gross margins as we use promotions to drive traffic and reduce inventory.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12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We closely manage our selling, general, and administrative expenses. Our selling, general, and administrative expenses are comprised of payroll, rent and occupancy, depreciation and amortization, acquisition expenses, pre-opening expenses and other operating expenses, including stock-based compensation expense. Pre-opening expenses include expenses incurred in the preparation and opening of a new store location, such as payroll, travel and supplies, but do not include the cost of the initial inventory or capital expenditures required to open a location.</w:t>
      </w:r>
    </w:p>
    <w:p>
      <w:pPr>
        <w:spacing w:after="0" w:line="182"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8"/>
          <w:szCs w:val="18"/>
          <w:color w:val="auto"/>
        </w:rPr>
        <w:t>Our selling, general, and administrative expenses are primarily influenced by the volume of net sales of our locations, except for our corporate payroll, rent and occupancy and depreciation and amortization, which are generally fixed in nature. We control our selling, general, and administrative expenses through a budgeting and reporting process that allows our personnel to adjust our expenses as trends in net sales activity are identified.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p>
      <w:pPr>
        <w:spacing w:after="0" w:line="121" w:lineRule="exact"/>
        <w:rPr>
          <w:sz w:val="20"/>
          <w:szCs w:val="20"/>
          <w:color w:val="auto"/>
        </w:rPr>
      </w:pPr>
    </w:p>
    <w:p>
      <w:pPr>
        <w:jc w:val="both"/>
        <w:ind w:right="60"/>
        <w:spacing w:after="0" w:line="281" w:lineRule="auto"/>
        <w:rPr>
          <w:sz w:val="20"/>
          <w:szCs w:val="20"/>
          <w:color w:val="auto"/>
        </w:rPr>
      </w:pPr>
      <w:r>
        <w:rPr>
          <w:rFonts w:ascii="Times New Roman" w:cs="Times New Roman" w:eastAsia="Times New Roman" w:hAnsi="Times New Roman"/>
          <w:sz w:val="18"/>
          <w:szCs w:val="18"/>
          <w:color w:val="auto"/>
        </w:rPr>
        <w:t>Income from operations is gross profit less selling, general, and administrative expenses. We use income from operations as an indicator of the productivity of our business and our ability to manage selling, general, and administrative expenses.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define Adjusted EBITDA as net (loss) income plus interest expense (benefit), income tax expense (benefit), depreciation and amortization, stock-based compensation expense, transition and severance costs related to director and officer transitions, and other gains, losses and expenses that we do not believe are indicative of our ongoing expenses. We define Adjusted EBITDA margin as Adjusted EBITDA divided by net sales. In evaluating our business, we use Adjusted EBITDA and Adjusted EBITDA margin as additional measurement tools for purposes of business decision-making, including evaluating store performance, developing budgets and managing expenditures. See “—Non-GAAP Financial Measures.”</w:t>
      </w:r>
    </w:p>
    <w:p>
      <w:pPr>
        <w:spacing w:after="0" w:line="17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key components of our results of operations as a percentage of net sales during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20" w:type="dxa"/>
            <w:vAlign w:val="bottom"/>
          </w:tcPr>
          <w:p>
            <w:pPr>
              <w:spacing w:after="0"/>
              <w:rPr>
                <w:sz w:val="16"/>
                <w:szCs w:val="16"/>
                <w:color w:val="auto"/>
              </w:rPr>
            </w:pPr>
          </w:p>
        </w:tc>
        <w:tc>
          <w:tcPr>
            <w:tcW w:w="2460" w:type="dxa"/>
            <w:vAlign w:val="bottom"/>
            <w:gridSpan w:val="4"/>
          </w:tcPr>
          <w:p>
            <w:pPr>
              <w:ind w:left="10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40" w:type="dxa"/>
            <w:vAlign w:val="bottom"/>
            <w:gridSpan w:val="6"/>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58"/>
        </w:trPr>
        <w:tc>
          <w:tcPr>
            <w:tcW w:w="3920" w:type="dxa"/>
            <w:vAlign w:val="bottom"/>
          </w:tcPr>
          <w:p>
            <w:pPr>
              <w:spacing w:after="0"/>
              <w:rPr>
                <w:sz w:val="13"/>
                <w:szCs w:val="13"/>
                <w:color w:val="auto"/>
              </w:rPr>
            </w:pPr>
          </w:p>
        </w:tc>
        <w:tc>
          <w:tcPr>
            <w:tcW w:w="2460" w:type="dxa"/>
            <w:vAlign w:val="bottom"/>
            <w:tcBorders>
              <w:top w:val="single" w:sz="8" w:color="auto"/>
            </w:tcBorders>
            <w:gridSpan w:val="4"/>
          </w:tcPr>
          <w:p>
            <w:pPr>
              <w:ind w:left="520"/>
              <w:spacing w:after="0" w:line="157"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1060" w:type="dxa"/>
            <w:vAlign w:val="bottom"/>
            <w:tcBorders>
              <w:top w:val="single" w:sz="8" w:color="auto"/>
            </w:tcBorders>
          </w:tcPr>
          <w:p>
            <w:pPr>
              <w:jc w:val="right"/>
              <w:ind w:right="493"/>
              <w:spacing w:after="0" w:line="157" w:lineRule="exact"/>
              <w:rPr>
                <w:sz w:val="20"/>
                <w:szCs w:val="20"/>
                <w:color w:val="auto"/>
              </w:rPr>
            </w:pPr>
            <w:r>
              <w:rPr>
                <w:rFonts w:ascii="Times New Roman" w:cs="Times New Roman" w:eastAsia="Times New Roman" w:hAnsi="Times New Roman"/>
                <w:sz w:val="14"/>
                <w:szCs w:val="14"/>
                <w:b w:val="1"/>
                <w:bCs w:val="1"/>
                <w:color w:val="auto"/>
                <w:w w:val="98"/>
              </w:rPr>
              <w:t>July 29,</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20" w:type="dxa"/>
            <w:vAlign w:val="bottom"/>
            <w:tcBorders>
              <w:top w:val="single" w:sz="8" w:color="auto"/>
            </w:tcBorders>
            <w:gridSpan w:val="3"/>
          </w:tcPr>
          <w:p>
            <w:pPr>
              <w:jc w:val="right"/>
              <w:ind w:right="740"/>
              <w:spacing w:after="0" w:line="157"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1620" w:type="dxa"/>
            <w:vAlign w:val="bottom"/>
            <w:tcBorders>
              <w:top w:val="single" w:sz="8" w:color="auto"/>
            </w:tcBorders>
          </w:tcPr>
          <w:p>
            <w:pPr>
              <w:jc w:val="right"/>
              <w:ind w:right="493"/>
              <w:spacing w:after="0" w:line="157" w:lineRule="exact"/>
              <w:rPr>
                <w:sz w:val="20"/>
                <w:szCs w:val="20"/>
                <w:color w:val="auto"/>
              </w:rPr>
            </w:pPr>
            <w:r>
              <w:rPr>
                <w:rFonts w:ascii="Times New Roman" w:cs="Times New Roman" w:eastAsia="Times New Roman" w:hAnsi="Times New Roman"/>
                <w:sz w:val="14"/>
                <w:szCs w:val="14"/>
                <w:b w:val="1"/>
                <w:bCs w:val="1"/>
                <w:color w:val="auto"/>
              </w:rPr>
              <w:t>July 29,</w:t>
            </w:r>
          </w:p>
        </w:tc>
        <w:tc>
          <w:tcPr>
            <w:tcW w:w="2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920" w:type="dxa"/>
            <w:vAlign w:val="bottom"/>
          </w:tcPr>
          <w:p>
            <w:pPr>
              <w:spacing w:after="0"/>
              <w:rPr>
                <w:sz w:val="16"/>
                <w:szCs w:val="16"/>
                <w:color w:val="auto"/>
              </w:rPr>
            </w:pPr>
          </w:p>
        </w:tc>
        <w:tc>
          <w:tcPr>
            <w:tcW w:w="16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Percentage of net sales:</w:t>
            </w:r>
          </w:p>
        </w:tc>
        <w:tc>
          <w:tcPr>
            <w:tcW w:w="16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100.0 %</w:t>
            </w:r>
          </w:p>
        </w:tc>
        <w:tc>
          <w:tcPr>
            <w:tcW w:w="580" w:type="dxa"/>
            <w:vAlign w:val="bottom"/>
          </w:tcPr>
          <w:p>
            <w:pPr>
              <w:spacing w:after="0"/>
              <w:rPr>
                <w:sz w:val="20"/>
                <w:szCs w:val="20"/>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100.0 %</w:t>
            </w:r>
          </w:p>
        </w:tc>
        <w:tc>
          <w:tcPr>
            <w:tcW w:w="1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100.0 %</w:t>
            </w:r>
          </w:p>
        </w:tc>
        <w:tc>
          <w:tcPr>
            <w:tcW w:w="1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43"/>
        </w:trPr>
        <w:tc>
          <w:tcPr>
            <w:tcW w:w="3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(0.5 )</w:t>
            </w:r>
          </w:p>
        </w:tc>
        <w:tc>
          <w:tcPr>
            <w:tcW w:w="140" w:type="dxa"/>
            <w:vAlign w:val="bottom"/>
          </w:tcPr>
          <w:p>
            <w:pPr>
              <w:spacing w:after="0"/>
              <w:rPr>
                <w:sz w:val="20"/>
                <w:szCs w:val="20"/>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(4.7 )</w:t>
            </w:r>
          </w:p>
        </w:tc>
        <w:tc>
          <w:tcPr>
            <w:tcW w:w="120" w:type="dxa"/>
            <w:vAlign w:val="bottom"/>
          </w:tcPr>
          <w:p>
            <w:pPr>
              <w:spacing w:after="0"/>
              <w:rPr>
                <w:sz w:val="20"/>
                <w:szCs w:val="20"/>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losses</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(1.6 )</w:t>
            </w:r>
          </w:p>
        </w:tc>
        <w:tc>
          <w:tcPr>
            <w:tcW w:w="14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(5.9 )</w:t>
            </w:r>
          </w:p>
        </w:tc>
        <w:tc>
          <w:tcPr>
            <w:tcW w:w="12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(0.7 )</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(0.6 )</w:t>
            </w:r>
          </w:p>
        </w:tc>
        <w:tc>
          <w:tcPr>
            <w:tcW w:w="140" w:type="dxa"/>
            <w:vAlign w:val="bottom"/>
          </w:tcPr>
          <w:p>
            <w:pPr>
              <w:spacing w:after="0"/>
              <w:rPr>
                <w:sz w:val="20"/>
                <w:szCs w:val="20"/>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tcPr>
          <w:p>
            <w:pPr>
              <w:spacing w:after="0"/>
              <w:rPr>
                <w:sz w:val="20"/>
                <w:szCs w:val="20"/>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920" w:type="dxa"/>
            <w:vAlign w:val="bottom"/>
            <w:vMerge w:val="continue"/>
          </w:tcPr>
          <w:p>
            <w:pPr>
              <w:spacing w:after="0"/>
              <w:rPr>
                <w:sz w:val="20"/>
                <w:szCs w:val="20"/>
                <w:color w:val="auto"/>
              </w:rPr>
            </w:pPr>
          </w:p>
        </w:tc>
        <w:tc>
          <w:tcPr>
            <w:tcW w:w="1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(2.1 )%</w:t>
            </w:r>
          </w:p>
        </w:tc>
        <w:tc>
          <w:tcPr>
            <w:tcW w:w="580" w:type="dxa"/>
            <w:vAlign w:val="bottom"/>
          </w:tcPr>
          <w:p>
            <w:pPr>
              <w:spacing w:after="0"/>
              <w:rPr>
                <w:sz w:val="20"/>
                <w:szCs w:val="20"/>
                <w:color w:val="auto"/>
              </w:rPr>
            </w:pP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(1.0 )%</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0"/>
        </w:trPr>
        <w:tc>
          <w:tcPr>
            <w:tcW w:w="3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3920" w:type="dxa"/>
            <w:vAlign w:val="bottom"/>
            <w:vMerge w:val="continue"/>
          </w:tcPr>
          <w:p>
            <w:pPr>
              <w:spacing w:after="0"/>
              <w:rPr>
                <w:sz w:val="19"/>
                <w:szCs w:val="19"/>
                <w:color w:val="auto"/>
              </w:rPr>
            </w:pPr>
          </w:p>
        </w:tc>
        <w:tc>
          <w:tcPr>
            <w:tcW w:w="1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2.6 %</w:t>
            </w:r>
          </w:p>
        </w:tc>
        <w:tc>
          <w:tcPr>
            <w:tcW w:w="580" w:type="dxa"/>
            <w:vAlign w:val="bottom"/>
          </w:tcPr>
          <w:p>
            <w:pPr>
              <w:spacing w:after="0"/>
              <w:rPr>
                <w:sz w:val="19"/>
                <w:szCs w:val="19"/>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3.5 %</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8"/>
        </w:trPr>
        <w:tc>
          <w:tcPr>
            <w:tcW w:w="3920" w:type="dxa"/>
            <w:vAlign w:val="bottom"/>
          </w:tcPr>
          <w:p>
            <w:pPr>
              <w:spacing w:after="0"/>
              <w:rPr>
                <w:sz w:val="24"/>
                <w:szCs w:val="24"/>
                <w:color w:val="auto"/>
              </w:rPr>
            </w:pPr>
          </w:p>
        </w:tc>
        <w:tc>
          <w:tcPr>
            <w:tcW w:w="1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39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3524250</wp:posOffset>
            </wp:positionH>
            <wp:positionV relativeFrom="paragraph">
              <wp:posOffset>-2516505</wp:posOffset>
            </wp:positionV>
            <wp:extent cx="768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-2516505</wp:posOffset>
            </wp:positionV>
            <wp:extent cx="7683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-2516505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-2516505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3524250</wp:posOffset>
            </wp:positionH>
            <wp:positionV relativeFrom="paragraph">
              <wp:posOffset>-2199640</wp:posOffset>
            </wp:positionV>
            <wp:extent cx="7683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-2199640</wp:posOffset>
            </wp:positionV>
            <wp:extent cx="768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-2199640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-2199640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-1403350</wp:posOffset>
            </wp:positionV>
            <wp:extent cx="7132320" cy="1797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768"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our percentage of net sales by department during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4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58"/>
        </w:trPr>
        <w:tc>
          <w:tcPr>
            <w:tcW w:w="2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Borders>
              <w:top w:val="single" w:sz="8" w:color="auto"/>
            </w:tcBorders>
            <w:gridSpan w:val="3"/>
          </w:tcPr>
          <w:p>
            <w:pPr>
              <w:jc w:val="center"/>
              <w:ind w:right="240"/>
              <w:spacing w:after="0" w:line="157"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1020" w:type="dxa"/>
            <w:vAlign w:val="bottom"/>
            <w:tcBorders>
              <w:top w:val="single" w:sz="8" w:color="auto"/>
            </w:tcBorders>
          </w:tcPr>
          <w:p>
            <w:pPr>
              <w:jc w:val="right"/>
              <w:ind w:right="194"/>
              <w:spacing w:after="0" w:line="157" w:lineRule="exact"/>
              <w:rPr>
                <w:sz w:val="20"/>
                <w:szCs w:val="20"/>
                <w:color w:val="auto"/>
              </w:rPr>
            </w:pPr>
            <w:r>
              <w:rPr>
                <w:rFonts w:ascii="Times New Roman" w:cs="Times New Roman" w:eastAsia="Times New Roman" w:hAnsi="Times New Roman"/>
                <w:sz w:val="14"/>
                <w:szCs w:val="14"/>
                <w:b w:val="1"/>
                <w:bCs w:val="1"/>
                <w:color w:val="auto"/>
              </w:rPr>
              <w:t>July 29,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Borders>
              <w:top w:val="single" w:sz="8" w:color="auto"/>
            </w:tcBorders>
            <w:gridSpan w:val="3"/>
          </w:tcPr>
          <w:p>
            <w:pPr>
              <w:jc w:val="right"/>
              <w:ind w:right="420"/>
              <w:spacing w:after="0" w:line="157"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1060" w:type="dxa"/>
            <w:vAlign w:val="bottom"/>
            <w:tcBorders>
              <w:top w:val="single" w:sz="8" w:color="auto"/>
            </w:tcBorders>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July 29,</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Department</w:t>
            </w:r>
          </w:p>
        </w:tc>
        <w:tc>
          <w:tcPr>
            <w:tcW w:w="120" w:type="dxa"/>
            <w:vAlign w:val="bottom"/>
          </w:tcPr>
          <w:p>
            <w:pPr>
              <w:spacing w:after="0"/>
              <w:rPr>
                <w:sz w:val="16"/>
                <w:szCs w:val="16"/>
                <w:color w:val="auto"/>
              </w:rPr>
            </w:pPr>
          </w:p>
        </w:tc>
        <w:tc>
          <w:tcPr>
            <w:tcW w:w="324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4"/>
                <w:szCs w:val="14"/>
                <w:b w:val="1"/>
                <w:bCs w:val="1"/>
                <w:color w:val="auto"/>
              </w:rPr>
              <w:t>Product Offerings</w:t>
            </w: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90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Camping</w:t>
            </w:r>
          </w:p>
        </w:tc>
        <w:tc>
          <w:tcPr>
            <w:tcW w:w="120" w:type="dxa"/>
            <w:vAlign w:val="bottom"/>
          </w:tcPr>
          <w:p>
            <w:pPr>
              <w:spacing w:after="0"/>
              <w:rPr>
                <w:sz w:val="17"/>
                <w:szCs w:val="17"/>
                <w:color w:val="auto"/>
              </w:rPr>
            </w:pPr>
          </w:p>
        </w:tc>
        <w:tc>
          <w:tcPr>
            <w:tcW w:w="3360" w:type="dxa"/>
            <w:vAlign w:val="bottom"/>
            <w:gridSpan w:val="2"/>
          </w:tcPr>
          <w:p>
            <w:pPr>
              <w:ind w:left="20"/>
              <w:spacing w:after="0" w:line="204" w:lineRule="exact"/>
              <w:rPr>
                <w:sz w:val="20"/>
                <w:szCs w:val="20"/>
                <w:color w:val="auto"/>
              </w:rPr>
            </w:pPr>
            <w:r>
              <w:rPr>
                <w:rFonts w:ascii="Times New Roman" w:cs="Times New Roman" w:eastAsia="Times New Roman" w:hAnsi="Times New Roman"/>
                <w:sz w:val="18"/>
                <w:szCs w:val="18"/>
                <w:color w:val="auto"/>
              </w:rPr>
              <w:t>Backpacks, camp essentials, canoes and</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kayaks, coolers, outdoor cooking</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equipment, sleeping bags, tents and tools</w:t>
            </w:r>
          </w:p>
        </w:tc>
        <w:tc>
          <w:tcPr>
            <w:tcW w:w="12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16.4 %</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16.0 %</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13.1 %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0" w:type="dxa"/>
            <w:vAlign w:val="bottom"/>
          </w:tcPr>
          <w:p>
            <w:pPr>
              <w:spacing w:after="0"/>
              <w:rPr>
                <w:sz w:val="1"/>
                <w:szCs w:val="1"/>
                <w:color w:val="auto"/>
              </w:rPr>
            </w:pPr>
          </w:p>
        </w:tc>
      </w:tr>
      <w:tr>
        <w:trPr>
          <w:trHeight w:val="224"/>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Apparel</w:t>
            </w:r>
          </w:p>
        </w:tc>
        <w:tc>
          <w:tcPr>
            <w:tcW w:w="120" w:type="dxa"/>
            <w:vAlign w:val="bottom"/>
          </w:tcPr>
          <w:p>
            <w:pPr>
              <w:spacing w:after="0"/>
              <w:rPr>
                <w:sz w:val="19"/>
                <w:szCs w:val="19"/>
                <w:color w:val="auto"/>
              </w:rPr>
            </w:pPr>
          </w:p>
        </w:tc>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Camouflage, jackets, hats, outerwear,</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sportswear, technical gear and work wear</w:t>
            </w:r>
          </w:p>
        </w:tc>
        <w:tc>
          <w:tcPr>
            <w:tcW w:w="12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6.6 %</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6.8 %</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6.1 %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24"/>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Fishing</w:t>
            </w:r>
          </w:p>
        </w:tc>
        <w:tc>
          <w:tcPr>
            <w:tcW w:w="120" w:type="dxa"/>
            <w:vAlign w:val="bottom"/>
          </w:tcPr>
          <w:p>
            <w:pPr>
              <w:spacing w:after="0"/>
              <w:rPr>
                <w:sz w:val="19"/>
                <w:szCs w:val="19"/>
                <w:color w:val="auto"/>
              </w:rPr>
            </w:pPr>
          </w:p>
        </w:tc>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Bait, electronics, fishing rods, flotation</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items, fly fishing, lines, lures, reels, tackle</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small boats</w:t>
            </w:r>
          </w:p>
        </w:tc>
        <w:tc>
          <w:tcPr>
            <w:tcW w:w="12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16.8 %</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14.4 %</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14.2 %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0" w:type="dxa"/>
            <w:vAlign w:val="bottom"/>
          </w:tcPr>
          <w:p>
            <w:pPr>
              <w:spacing w:after="0"/>
              <w:rPr>
                <w:sz w:val="1"/>
                <w:szCs w:val="1"/>
                <w:color w:val="auto"/>
              </w:rPr>
            </w:pPr>
          </w:p>
        </w:tc>
      </w:tr>
      <w:tr>
        <w:trPr>
          <w:trHeight w:val="224"/>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Footwear</w:t>
            </w:r>
          </w:p>
        </w:tc>
        <w:tc>
          <w:tcPr>
            <w:tcW w:w="120" w:type="dxa"/>
            <w:vAlign w:val="bottom"/>
          </w:tcPr>
          <w:p>
            <w:pPr>
              <w:spacing w:after="0"/>
              <w:rPr>
                <w:sz w:val="19"/>
                <w:szCs w:val="19"/>
                <w:color w:val="auto"/>
              </w:rPr>
            </w:pPr>
          </w:p>
        </w:tc>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Hiking boots, socks, sport sandals, technical</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footwear, trail shoes, casual shoes, waders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work boots</w:t>
            </w:r>
          </w:p>
        </w:tc>
        <w:tc>
          <w:tcPr>
            <w:tcW w:w="12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6.3 %</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6.8 %</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5.8 %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24"/>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Hunting and Shooting</w:t>
            </w:r>
          </w:p>
        </w:tc>
        <w:tc>
          <w:tcPr>
            <w:tcW w:w="120" w:type="dxa"/>
            <w:vAlign w:val="bottom"/>
          </w:tcPr>
          <w:p>
            <w:pPr>
              <w:spacing w:after="0"/>
              <w:rPr>
                <w:sz w:val="19"/>
                <w:szCs w:val="19"/>
                <w:color w:val="auto"/>
              </w:rPr>
            </w:pPr>
          </w:p>
        </w:tc>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Ammunition, archery items, ATV</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accessories, blinds and tree stands, decoys,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firearms, reloading equipment and shooting</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gear</w:t>
            </w:r>
          </w:p>
        </w:tc>
        <w:tc>
          <w:tcPr>
            <w:tcW w:w="12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47.9 %</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49.9 %</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55.2 %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56.1 %</w:t>
            </w:r>
          </w:p>
        </w:tc>
        <w:tc>
          <w:tcPr>
            <w:tcW w:w="0" w:type="dxa"/>
            <w:vAlign w:val="bottom"/>
          </w:tcPr>
          <w:p>
            <w:pPr>
              <w:spacing w:after="0"/>
              <w:rPr>
                <w:sz w:val="1"/>
                <w:szCs w:val="1"/>
                <w:color w:val="auto"/>
              </w:rPr>
            </w:pPr>
          </w:p>
        </w:tc>
      </w:tr>
      <w:tr>
        <w:trPr>
          <w:trHeight w:val="224"/>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Optics, Electronics, Accessories, and</w:t>
            </w:r>
          </w:p>
        </w:tc>
        <w:tc>
          <w:tcPr>
            <w:tcW w:w="120" w:type="dxa"/>
            <w:vAlign w:val="bottom"/>
          </w:tcPr>
          <w:p>
            <w:pPr>
              <w:spacing w:after="0"/>
              <w:rPr>
                <w:sz w:val="19"/>
                <w:szCs w:val="19"/>
                <w:color w:val="auto"/>
              </w:rPr>
            </w:pPr>
          </w:p>
        </w:tc>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Gift items, GPS devices, knives, lighting,</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optics, two-way radios, and other license</w:t>
            </w:r>
          </w:p>
        </w:tc>
        <w:tc>
          <w:tcPr>
            <w:tcW w:w="126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6.0 %</w:t>
            </w:r>
          </w:p>
        </w:tc>
        <w:tc>
          <w:tcPr>
            <w:tcW w:w="12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6.1 %</w:t>
            </w:r>
          </w:p>
        </w:tc>
        <w:tc>
          <w:tcPr>
            <w:tcW w:w="12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5.6 %</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34"/>
        </w:trPr>
        <w:tc>
          <w:tcPr>
            <w:tcW w:w="2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net of revenue discounts</w:t>
            </w:r>
          </w:p>
        </w:tc>
        <w:tc>
          <w:tcPr>
            <w:tcW w:w="1260" w:type="dxa"/>
            <w:vAlign w:val="bottom"/>
            <w:gridSpan w:val="3"/>
            <w:vMerge w:val="continue"/>
          </w:tcPr>
          <w:p>
            <w:pPr>
              <w:spacing w:after="0"/>
              <w:rPr>
                <w:sz w:val="20"/>
                <w:szCs w:val="20"/>
                <w:color w:val="auto"/>
              </w:rPr>
            </w:pPr>
          </w:p>
        </w:tc>
        <w:tc>
          <w:tcPr>
            <w:tcW w:w="1220" w:type="dxa"/>
            <w:vAlign w:val="bottom"/>
            <w:gridSpan w:val="3"/>
            <w:vMerge w:val="continue"/>
          </w:tcPr>
          <w:p>
            <w:pPr>
              <w:spacing w:after="0"/>
              <w:rPr>
                <w:sz w:val="20"/>
                <w:szCs w:val="20"/>
                <w:color w:val="auto"/>
              </w:rPr>
            </w:pPr>
          </w:p>
        </w:tc>
        <w:tc>
          <w:tcPr>
            <w:tcW w:w="1220" w:type="dxa"/>
            <w:vAlign w:val="bottom"/>
            <w:gridSpan w:val="3"/>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9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100.0 %</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100.0 %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-2747645</wp:posOffset>
            </wp:positionV>
            <wp:extent cx="7132320" cy="4279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4279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-2028825</wp:posOffset>
            </wp:positionV>
            <wp:extent cx="7132320" cy="4279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4279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-1172210</wp:posOffset>
            </wp:positionV>
            <wp:extent cx="7132320" cy="5651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5651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Thirteen Weeks Ended August 3, 2024 Compared to Thirteen Weeks Ended July 29, 2023</w:t>
      </w:r>
    </w:p>
    <w:p>
      <w:pPr>
        <w:spacing w:after="0" w:line="11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and Same Store Sales. </w:t>
      </w:r>
      <w:r>
        <w:rPr>
          <w:rFonts w:ascii="Times New Roman" w:cs="Times New Roman" w:eastAsia="Times New Roman" w:hAnsi="Times New Roman"/>
          <w:sz w:val="18"/>
          <w:szCs w:val="18"/>
          <w:color w:val="auto"/>
        </w:rPr>
        <w:t>Net sales decreased by $20.8 million, or 6.7%, to $288.7 million during the 13 weeks ended August 3, 2024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$309.5 million in the corresponding period of fiscal year 2023. Our net sales decreased primarily due to the continued impact of consumer inflationary pressures on discretionary spending, resulting in a decline in store traffic and lower demand across most product categories. This decrease was partially offset by same store sales growth in our fishing department and our opening of 6 new stores since July 29, 2023. Stores that have been open for less than 12 months and were, therefore, not included in our same store sales, contributed $11.2 million to net sales. E-commerce driven sales comprised more than 19% of total sales for the 13 weeks ended August 3, 2024. Same store sales decreased by 9.8% during the 13 weeks ended August 3, 2024 compared to the corresponding 13-week period of fiscal year 2023, primarily as a result of the factors discussed above that impacted net sales.</w:t>
      </w:r>
    </w:p>
    <w:p>
      <w:pPr>
        <w:spacing w:after="0" w:line="21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Our Fishing department saw a net sales increase of $4.1 million during the 13 weeks ended August 3, 2024 compared to the corresponding period of fiscal year 2023 primarily driven by our reset of fishing inventory and the opening of 6 new stores since July 29, 2023. Our Hunting and Shooting, Footwear, Camping, Apparel and Optics, Electronics, Accessories and Other departments saw net sales decreases of $16.3 million, $2.8 million, $2.3 million, $2.0 million and $1.4 million, respectively, during the 13 weeks ended August 3, 2024 compared to the corresponding period of fiscal year 2023. Within our Hunting and Shooting department, our ammunition and firearm categories saw decreases of $8.1 million and $6.0 million or 18.3% and 9.2%, respectively, during the 13 weeks ended August 3, 2024 compared to the corresponding period of fiscal year 2023. The decreases in the firearm and ammunition categories were primarily due to the impact of consumer inflationary pressures on discretionary spending. This was partially offset by our opening of 6 new stores since July 29, 2023.</w:t>
      </w:r>
    </w:p>
    <w:p>
      <w:pPr>
        <w:spacing w:after="0" w:line="200" w:lineRule="exact"/>
        <w:rPr>
          <w:sz w:val="20"/>
          <w:szCs w:val="20"/>
          <w:color w:val="auto"/>
        </w:rPr>
      </w:pPr>
    </w:p>
    <w:p>
      <w:pPr>
        <w:spacing w:after="0" w:line="20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8" w:right="2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With respect to same store sales, during the 13 weeks ended August 3, 2024, our Fishing department saw an increase of 6.1% compared to the corresponding period of fiscal year 2023. Our Footwear, Hunting and Shooting, Apparel, Optics, Electronics, Accessories and Other and Camping departments saw same store sales decreases of 15.2%, 13.6%, 12.8%, 11.7% and 7.0%, respectively, during the 13 weeks ended August 3, 2024 compared to the corresponding period of fiscal year 2023. These changes were primarily driven by the items noted above for net sales. As of August 3, 2024, 140 stores were included in our same store sales calculation.</w:t>
      </w:r>
    </w:p>
    <w:p>
      <w:pPr>
        <w:spacing w:after="0" w:line="20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decreased by $10.8 million, or 10.7%, to $90 million during the 13 weeks ended August 3, 2024 compared to $100.8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corresponding period of fiscal year 2023. As a percentage of net sales, gross profit decreased to 31.2% during the 13 weeks ended August 3, 2024, compared to 32.6% for the corresponding period of fiscal year 2023, primarily driven by increased shrink and reduced product margins from seasonal markdowns in our Camping and Apparel departments.</w:t>
      </w:r>
    </w:p>
    <w:p>
      <w:pPr>
        <w:spacing w:after="0" w:line="202" w:lineRule="exact"/>
        <w:rPr>
          <w:sz w:val="20"/>
          <w:szCs w:val="20"/>
          <w:color w:val="auto"/>
        </w:rPr>
      </w:pPr>
    </w:p>
    <w:p>
      <w:pPr>
        <w:jc w:val="both"/>
        <w:ind w:right="8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decreased by $8.0 million, or 7.8%, to $94.3 million during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13 weeks ended August 3, 2024, compared to $102.3 million for the corresponding period of fiscal year 2023. This decrease was primarily the result of decreases in payroll and pre-opening expenses of $5.7 million and $2.2 million, respectively, during the 13 weeks ended August 3, 2024. These reductions were primarily related to increased operational efficiencies and the decision to not open new stores during the current year. These decreases were partially offset by increases of $1.2 million and $1.1 million in depreciation and rent expenses, respectively, during the 13 weeks ended August 3, 2024 primarily as a result of opening 6 new stores since July 29, 2023.</w:t>
      </w:r>
    </w:p>
    <w:p>
      <w:pPr>
        <w:spacing w:after="0" w:line="184"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On a per store basis, our payroll and other operating expenses decreased approximately 17% and 3%, respectively, compared to the corresponding period of fiscal year 2023. As a percentage of net sales, selling, general, and administrative expenses decreased to 32.7% of net sales in the second quarter of fiscal year 2024, compared to 33.1% of net sales in the second quarter of fiscal year 2023, as a result of the factors discussed above.</w:t>
      </w:r>
    </w:p>
    <w:p>
      <w:pPr>
        <w:spacing w:after="0" w:line="200"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Expense. </w:t>
      </w:r>
      <w:r>
        <w:rPr>
          <w:rFonts w:ascii="Times New Roman" w:cs="Times New Roman" w:eastAsia="Times New Roman" w:hAnsi="Times New Roman"/>
          <w:sz w:val="17"/>
          <w:szCs w:val="17"/>
          <w:color w:val="auto"/>
        </w:rPr>
        <w:t>Interest expense decreased by $0.3 million, or 8.6%, to $3.2 million during the 13 weeks ended August 3, 2024, compared to $3.5</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million for the corresponding period of fiscal year 2023. The decrease in interest expense was primarily driven by decreased borrowings on our revolving credit facility partially offset by higher interest rates during the second quarter of fiscal year 2024 compared to the corresponding period of fiscal year 2023.</w:t>
      </w:r>
    </w:p>
    <w:p>
      <w:pPr>
        <w:spacing w:after="0" w:line="179"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We recognized income tax benefit of $2.1 million during the 13 weeks ended August 3, 2024 compared to an income tax benefit of $1.8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during the corresponding period of fiscal year 2023. Our effective tax rates during the 13 weeks ended August 3, 2024 and July 29, 2023 were 25.8% and 34.8%, respectively. Our effective tax rate will generally differ from the U.S. Federal statutory rate of 21.0%, due to state taxes, permanent items, and discrete items relating to stock award deductions.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Twenty-Six Weeks Ended August 3, 2024 Compared to Twenty-Six Weeks Ended July 29, 2023</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and Same Store Sales. </w:t>
      </w:r>
      <w:r>
        <w:rPr>
          <w:rFonts w:ascii="Times New Roman" w:cs="Times New Roman" w:eastAsia="Times New Roman" w:hAnsi="Times New Roman"/>
          <w:sz w:val="18"/>
          <w:szCs w:val="18"/>
          <w:color w:val="auto"/>
        </w:rPr>
        <w:t>Net sales decreased by $44 million, or 7.6%, to $533 million during the 26 weeks ended August 3, 2024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$577 million in the corresponding period of fiscal year 2023. Our net sales decreased primarily due to the continued impact of consumer inflationary pressures on discretionary spending, resulting in a decline in store traffic and lower demand across most product categories. This decrease was partially offset by same store sales growth in our fishing department and our opening of 6 new stores since July 29, 2023. Stores that have been open for less than 12 months and were, therefore, not included in our same store sales, contributed $26.8 million to net sales. E-commerce driven sales comprised more than 19% of total sales for the 26 weeks ended August 3, 2024. Same store sales decreased by 11.5% during the 26 weeks ended August 3, 2024 compared to the corresponding 26-week period of fiscal year 2023, primarily as a result of the factors discussed above that impacted net sales.</w:t>
      </w:r>
    </w:p>
    <w:p>
      <w:pPr>
        <w:spacing w:after="0" w:line="211"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Our Fishing department saw a net sales increase of $6.6 million during the 26 weeks ended August 3, 2024 compared to the corresponding period of fiscal year 2023 primarily driven by our reset of fishing inventory and the opening of 6 new stores since July 29, 2023. Our Hunting and Shooting, Footwear, Apparel, Camping and Optics,</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Electronics, Accessories and Other departments saw net sales decreases of $29.2 million, $7.8 million, $7.0 million, $3.8 million and $2.8 million, respectively, during the 26 weeks ended August 3, 2024 compared to the corresponding period of fiscal year 2023. Within our Hunting and Shooting department, our ammunition and firearm categories saw decreases of $12.8 million and $11.8 million or 14.2% and 8.2%, respectively, during the 26 weeks ended August 3, 2024 compared to the corresponding period of fiscal year 2023. The decreases in the firearm and ammunition categories were primarily due to the impact of consumer inflationary pressures on discretionary spending. This was partially offset by our opening of 6 new stores since July 29, 2023.</w:t>
      </w:r>
    </w:p>
    <w:p>
      <w:pPr>
        <w:spacing w:after="0" w:line="21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With respect to same store sales, during the 26 weeks ended August 3, 2024, our Fishing department saw an increase of 5.4% compared to the corresponding period of fiscal year 2023. Our Footwear, Apparel, Hunting and Shooting, Optics, Electronics, Accessories and Other and Camping departments saw same store sales decreases of 22.7%, 21.5%, 13.2%, 11.5% and 8.3%, respectively, during the 26 weeks ended August 3, 2024 compared to the corresponding period of fiscal year 2023. These changes were primarily driven by the items noted above for net sales. As of August 3, 2024, 140 stores were included in our same store sales calculation.</w:t>
      </w:r>
    </w:p>
    <w:p>
      <w:pPr>
        <w:spacing w:after="0" w:line="20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decreased by $17.1 million, or 9.4%, to $163.8 million during the 26 weeks ended August 3, 2024 compared to $180.9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corresponding period of fiscal year 2023. As a percentage of net sales, gross profit decreased to 30.7% during the 26 weeks ended August 3, 2024, compared to 31.3% for the corresponding period of fiscal year 2023, primarily driven by increased shrink and reduced product margins from promotional activities in our Camping and Apparel departments. This decrease in gross margin was partially offset by improved product mix from increased same store sales in our Fishing department.</w:t>
      </w:r>
    </w:p>
    <w:p>
      <w:pPr>
        <w:spacing w:after="0" w:line="20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decreased by $12.6 million, or 6.2%, to $188.8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during the 26 weeks ended August 3, 2024, compared to $201.3 million for the corresponding period of fiscal year 2023. This decrease was primarily the result of decreases in payroll and pre-opening expenses of $10.8 million and $4.4 million, respectively, during the 26 weeks ended August 3, 2024 primarily related to our ongoing cost reduction efforts and decision to not open new stores during the current year. These decreases were partially offset by increases of $3.2 million and $2.8 million in rent and depreciation expenses, respectively, during the 26 weeks ended August 3, 2024 primarily as a result of opening 6 new stores since July 29, 2023.</w:t>
      </w:r>
    </w:p>
    <w:p>
      <w:pPr>
        <w:spacing w:after="0" w:line="184"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On a per store basis, our payroll and other operating expenses decreased approximately 18% and 8%, respectively, compared to the corresponding period of fiscal year 2023. As a percentage of net sales, selling, general, and administrative expenses increased to 35.4% of net sales during the 26 weeks ended August 3, 2024, compared to 34.9% of net sales in the second quarter of fiscal year 2023, primarily driven by lower net sales.</w:t>
      </w:r>
    </w:p>
    <w:p>
      <w:pPr>
        <w:spacing w:after="0" w:line="20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increased by $0.5 million, or 8.9%, to $6.1 million during the 26 weeks ended August 3, 2024, compared to $5.6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corresponding period of fiscal year 2023. The increase in interest expense was primarily driven by higher interest rates during the 26 weeks ended August 3, 2024 compared to the corresponding period of fiscal year 2023.</w:t>
      </w:r>
    </w:p>
    <w:p>
      <w:pPr>
        <w:spacing w:after="0" w:line="197"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We recognized income tax benefit of $7.5 million during the 26 weeks ended August 3, 2024 compared to an income tax benefit of $7.1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during the corresponding period of fiscal year 2023. Our effective tax rates during the 26 weeks ended August 3, 2024 and July 29, 2023 were 23.9% and 27.3%, respectively. Our effective tax rate will generally differ from the U.S. Federal statutory rate of 21.0%, due to state taxes, permanent items, and discrete items relating to stock award deductions.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Net sales are typically higher in our third and fourth fiscal quarters than in our first and second fiscal quarters because of the openings of hunting seasons across the country and consumer holiday buying patterns. We also incur additional expenses in our third and fourth fiscal quarters due to higher sales volume and increased staffing in our stores. We anticipate our net sales will continue to reflect this seasonal pattern.</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timing of our new retail store openings also may have an impact on our quarterly results. First, we incur certain non-recurring expenses related to opening each new retail store, which are expensed as they are incurred. Second, most store expenses generally vary proportionately with net sales, but there is also a fixed cost component, which includes occupancy costs. These fixed costs typically result in lower store profitability during the initial period after a new retail store opens. Due to both of these factors, new retail store openings may result in a temporary decline in operating profit, in dollars and/or as a percentage of net sales.</w:t>
      </w:r>
    </w:p>
    <w:p>
      <w:pPr>
        <w:spacing w:after="0" w:line="182"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Weather conditions affect outdoor activities and the demand for related apparel and equipment. Customers’ demand for our products, and, therefore, our net sales, can be significantly impacted by weather patterns on a local, regional and national basis.</w:t>
      </w:r>
    </w:p>
    <w:p>
      <w:pPr>
        <w:spacing w:after="0" w:line="1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Uses and Sources of Cash</w:t>
      </w:r>
    </w:p>
    <w:p>
      <w:pPr>
        <w:spacing w:after="0" w:line="121"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8"/>
          <w:szCs w:val="18"/>
          <w:color w:val="auto"/>
        </w:rPr>
        <w:t>As of August 3, 2024, we had cash and cash equivalents of $2.6 million and working capital, consisting of current assets less current liabilities, of $69.5 million. We also had $97.3 million available for borrowing under our senior secured revolving credit facility and our term loan facility as of August 3, 2024, calculated based upon certain borrowing base restrictions for each of the revolving credit facility and term loan facility.</w:t>
      </w:r>
    </w:p>
    <w:p>
      <w:pPr>
        <w:spacing w:after="0" w:line="177"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Our primary cash requirements are for seasonal working capital needs and capital expenditures related to ongoing operational needs and new system investments. For both the short-term and the long-term, our primary sources of cash are borrowings under our senior secured revolving credit facility, our term loan facility and operating cash flows. We believe that our cash on hand, cash generated by operating activities and funds available under our revolving credit facility and term loan facility will be sufficient to finance our operating activities and meet our cash requirements for at least the next twelve months and beyond. With no new stores planned for the remainder of fiscal year 2024, we intend to prioritize the repayment of outstanding debt with any excess cash flow.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121"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Our material cash requirements from known contractual and other obligations are primarily for general operating expenses and other expenses discussed below.</w:t>
      </w:r>
    </w:p>
    <w:p>
      <w:pPr>
        <w:spacing w:after="0" w:line="161"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Purchase Obligations. </w:t>
      </w:r>
      <w:r>
        <w:rPr>
          <w:rFonts w:ascii="Times New Roman" w:cs="Times New Roman" w:eastAsia="Times New Roman" w:hAnsi="Times New Roman"/>
          <w:sz w:val="18"/>
          <w:szCs w:val="18"/>
          <w:color w:val="auto"/>
        </w:rPr>
        <w:t>In the ordinary course of business, we enter into arrangements with vendors to purchase merchandise in advance of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We or the vendor can generally terminate the purchase orders at any time. These purchase orders do not contain any termination payments or other penalties if cancelled.</w:t>
      </w:r>
    </w:p>
    <w:p>
      <w:pPr>
        <w:spacing w:after="0" w:line="172"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Lease Obligations. </w:t>
      </w:r>
      <w:r>
        <w:rPr>
          <w:rFonts w:ascii="Times New Roman" w:cs="Times New Roman" w:eastAsia="Times New Roman" w:hAnsi="Times New Roman"/>
          <w:sz w:val="18"/>
          <w:szCs w:val="18"/>
          <w:color w:val="auto"/>
        </w:rPr>
        <w:t>Operating lease commitments consist principally of leases for our retail stores, corporate office and distribution center.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leases often include options which allow us to extend the terms beyond the initial lease term. As of August 3, 2024, our expected operating lease payments for the remainder of fiscal year 2024 are $37.4 million and our total committed lease payments are $480.7 million. Other operating lease obligations consist of distribution center equipment. See Note 6, “Leases” to our unaudited condensed consolidated financial statements included in this 10-Q.</w:t>
      </w:r>
    </w:p>
    <w:p>
      <w:pPr>
        <w:spacing w:after="0" w:line="17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During the 26 weeks ended August 3, 2024, we incurred approximately $7.7 million in capital expenditures primarily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strategic technological investments and general store maintenance. We expect capital expenditures, net of tenant allowances, between $20 million and $25 million for fiscal year 2024 (inclusive of amounts spent during the 26 weeks ended August 3, 2024) primarily related to strategic technological investments, such as planogramming, merchandising and replenishment and store scheduling tools, and general store fleet maintenance. We intend to fund these capital expenditures with our operating cash flows, cash on hand and funds available under our revolving credit facility. Other investment opportunities, such as potential strategic acquisitions or store expansion rates in excess of those presently planned, may require additional funding.</w:t>
      </w:r>
    </w:p>
    <w:p>
      <w:pPr>
        <w:spacing w:after="0" w:line="18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Principal and Interest Payments. </w:t>
      </w:r>
      <w:r>
        <w:rPr>
          <w:rFonts w:ascii="Times New Roman" w:cs="Times New Roman" w:eastAsia="Times New Roman" w:hAnsi="Times New Roman"/>
          <w:sz w:val="18"/>
          <w:szCs w:val="18"/>
          <w:color w:val="auto"/>
        </w:rPr>
        <w:t>We maintain a $350.0 million revolving credit facility and a $45.0 million term loan facility. As of August 3, 2024, $144.7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was outstanding under the revolving credit facility and $25.0 million was outstanding under the term loan facility. Assuming no additional repayments or borrowings on our</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revolving credit facility and our term loan facility after August 3, 2024, our interest payments would be approximately $6.3 million for the remainder of fiscal year 2024 based on the interest rate as of August 3, 2024. As of August 3, 2024, our weighted average interest rate on the amounts outstanding under our revolving credit facility and term loan facility was 7.40%. See below under “Indebtedness” for additional information regarding our revolving credit facility and term loan facility, including the interest rates applicable to any borrowing under such facilities.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provided by (used in) operating, investing and financing activities are shown in the following table: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0" w:type="dxa"/>
            <w:vAlign w:val="bottom"/>
            <w:gridSpan w:val="5"/>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58"/>
        </w:trPr>
        <w:tc>
          <w:tcPr>
            <w:tcW w:w="77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960" w:type="dxa"/>
            <w:vAlign w:val="bottom"/>
            <w:tcBorders>
              <w:top w:val="single" w:sz="8" w:color="auto"/>
            </w:tcBorders>
            <w:gridSpan w:val="3"/>
          </w:tcPr>
          <w:p>
            <w:pPr>
              <w:jc w:val="right"/>
              <w:ind w:right="1200"/>
              <w:spacing w:after="0" w:line="157"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1140" w:type="dxa"/>
            <w:vAlign w:val="bottom"/>
            <w:tcBorders>
              <w:top w:val="single" w:sz="8" w:color="auto"/>
            </w:tcBorders>
          </w:tcPr>
          <w:p>
            <w:pPr>
              <w:jc w:val="right"/>
              <w:ind w:right="456"/>
              <w:spacing w:after="0" w:line="157" w:lineRule="exact"/>
              <w:rPr>
                <w:sz w:val="20"/>
                <w:szCs w:val="20"/>
                <w:color w:val="auto"/>
              </w:rPr>
            </w:pPr>
            <w:r>
              <w:rPr>
                <w:rFonts w:ascii="Times New Roman" w:cs="Times New Roman" w:eastAsia="Times New Roman" w:hAnsi="Times New Roman"/>
                <w:sz w:val="14"/>
                <w:szCs w:val="14"/>
                <w:b w:val="1"/>
                <w:bCs w:val="1"/>
                <w:color w:val="auto"/>
              </w:rPr>
              <w:t>July 29,</w:t>
            </w:r>
          </w:p>
        </w:tc>
        <w:tc>
          <w:tcPr>
            <w:tcW w:w="100" w:type="dxa"/>
            <w:vAlign w:val="bottom"/>
          </w:tcPr>
          <w:p>
            <w:pPr>
              <w:spacing w:after="0"/>
              <w:rPr>
                <w:sz w:val="13"/>
                <w:szCs w:val="13"/>
                <w:color w:val="auto"/>
              </w:rPr>
            </w:pPr>
          </w:p>
        </w:tc>
      </w:tr>
      <w:tr>
        <w:trPr>
          <w:trHeight w:val="187"/>
        </w:trPr>
        <w:tc>
          <w:tcPr>
            <w:tcW w:w="7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(in</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used in operating activities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(16,132 )   $</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(58,328 )</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300" w:type="dxa"/>
            <w:vAlign w:val="bottom"/>
          </w:tcPr>
          <w:p>
            <w:pPr>
              <w:spacing w:after="0"/>
              <w:rPr>
                <w:sz w:val="20"/>
                <w:szCs w:val="20"/>
                <w:color w:val="auto"/>
              </w:rPr>
            </w:pPr>
          </w:p>
        </w:tc>
        <w:tc>
          <w:tcPr>
            <w:tcW w:w="154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(7,631 )</w:t>
            </w:r>
          </w:p>
        </w:tc>
        <w:tc>
          <w:tcPr>
            <w:tcW w:w="4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(51,971 )</w:t>
            </w: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23,182</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110,803</w:t>
            </w:r>
          </w:p>
        </w:tc>
        <w:tc>
          <w:tcPr>
            <w:tcW w:w="100" w:type="dxa"/>
            <w:vAlign w:val="bottom"/>
            <w:shd w:val="clear" w:color="auto" w:fill="CFF0FC"/>
          </w:tcPr>
          <w:p>
            <w:pPr>
              <w:spacing w:after="0"/>
              <w:rPr>
                <w:sz w:val="21"/>
                <w:szCs w:val="21"/>
                <w:color w:val="auto"/>
              </w:rPr>
            </w:pP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at end of period</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100" w:type="dxa"/>
            <w:vAlign w:val="bottom"/>
          </w:tcPr>
          <w:p>
            <w:pPr>
              <w:spacing w:after="0"/>
              <w:rPr>
                <w:sz w:val="20"/>
                <w:szCs w:val="20"/>
                <w:color w:val="auto"/>
              </w:rPr>
            </w:pPr>
          </w:p>
        </w:tc>
      </w:tr>
    </w:tbl>
    <w:p>
      <w:pPr>
        <w:spacing w:after="0" w:line="246"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Net cash used in operating activities was $16.1 million for the 26 weeks ended August 3, 2024, compared to net cash used in operating activities was $58.3 million for the corresponding period of fiscal year 2023, a decrease of approximately $42.2 million. The decrease in our cash flows used in operating activities was primarily driven by reduced inventory build up during the 26 weeks ended August 3, 2024 compared to the corresponding period of fiscal year 2023.</w:t>
      </w:r>
    </w:p>
    <w:p>
      <w:pPr>
        <w:spacing w:after="0" w:line="182"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Net cash used in investing activities was $7.6 million for the 26 weeks ended August 3, 2024, compared to net cash used in investing activities was $52.0 million for the corresponding period of fiscal year 2023, a decrease of approximately $44.4 million, which was primarily driven by reduced capital expenditures related to the construction of new stores and the refurbishment of existing stores during the 26 weeks ended August 3, 2024 compared to the corresponding period of fiscal year 2023.</w:t>
      </w:r>
    </w:p>
    <w:p>
      <w:pPr>
        <w:spacing w:after="0" w:line="182"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Net cash provided by financing activities was $23.2 million for the 26 weeks ended August 3, 2024, compared to net cash provided by financing activities was $110.8 million for the corresponding period of fiscal year 2023, a decrease of approximately $87.6 million. The decrease in cash provided by financing activities was primarily the result of decreased incremental borrowings under our revolving credit facility.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maintain a $350.0 million revolving credit facility, with $144.7 million outstanding as of August 3, 2024. Our revolving credit facility is governed by an amended and restated credit agreement with a consortium of banks led by Wells Fargo Bank, National Association (“Wells Fargo”). We additionally entered into a term loan credit facility on July 30, 2024 with an aggregate principal amount available of $45.0 million, with $25.0 million outstanding as of August 3, 2024. Borrowings under our revolving credit facility and term loan facility are subject to a borrowing base calculation. As of August 3, 2024, we had an aggregate amount of $97.3 million available for borrowing under our revolving credit facility and our term loan facility, calculated based upon certain borrowing base restrictions, and $2.0 million in stand-by commercial letters of credit.</w:t>
      </w:r>
    </w:p>
    <w:p>
      <w:pPr>
        <w:spacing w:after="0" w:line="186"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7"/>
          <w:szCs w:val="17"/>
          <w:color w:val="auto"/>
        </w:rPr>
        <w:t>Borrowings under the revolving credit facility bear interest based on either the base rate or Term SOFR (as defined by the credit agreement governing the revolving credit facility), at our option, in each case plus an applicable margin. The base rate is the greatest of (1) the floor rate (as defined in the credit agreement as a rate of interest equal to 0.0%) (2) Wells Fargo’s prime rate, (3) the federal funds rate (as defined in the applicable credit agreement) plus</w:t>
      </w:r>
    </w:p>
    <w:p>
      <w:pPr>
        <w:spacing w:after="0" w:line="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0.50% or (4) the one-month Term SOFR (as defined in the applicable credit agreement) plus 1.00%. The applicable margin for loans under the revolving credit facility, which varies based on the average daily availability, ranges from 0.25% to 0.50% per year for base rate loans and from 1.35% to 1.60% per year for Term SOFR loans. We are required to pay a commitment fee for the unused portion of the revolving credit facility, which will range from 0.20% to 0.225% per annum, depending on the average daily availability under the revolving credit facility.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Borrowings under the term loan facility bear interest at a rate equal to (i) a specified term secured overnight financing rate (SOFR), plus (ii) 0.10% as a SOFR adjustment, plus (iii) the applicable margin as specified in the Term Loan. The applicable margin means either 3.50% or 6.50% depending on the type of term loan. Under the Term Loan, loans may be required to be converted to base rate loans and in such case, the applicable margin rate will increase by 1.0%.</w:t>
      </w:r>
    </w:p>
    <w:p>
      <w:pPr>
        <w:spacing w:after="0" w:line="18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Each of the subsidiaries of Holdings is a borrower under the revolving credit facility and the term loan, and all obligations under the revolving credit facility and the term loan are guaranteed by Holdings. All of the obligations under the revolving credit facility and the term loan are secured by a lien on substantially all of Holdings’ assets and assets of all of Holdings’ subsidiaries, including a pledge of all capital stock of each of Holdings’ subsidiaries. The lien securing the obligations under the revolving credit facility is a first priority lien as to certain liquid assets, including cash, accounts receivable, deposit accounts and inventory. The lien securing the obligations under the term loan facility is a first priority lien as to equipment, fixtures, intellectual property and equity interests.</w:t>
      </w:r>
    </w:p>
    <w:p>
      <w:pPr>
        <w:spacing w:after="0" w:line="186"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We may be required to make mandatory prepayments under the revolving credit facility and the term loan in the event of a disposition of certain property or assets, in the event of receipt of certain insurance or condemnation proceeds, upon the issuance of certain debt or equity securities, upon the incurrence of certain indebtedness for borrowed money or upon the receipt of certain payments not received in the ordinary course of business.</w:t>
      </w:r>
    </w:p>
    <w:p>
      <w:pPr>
        <w:spacing w:after="0" w:line="17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revolving credit facility and term loan facility each require us to maintain a minimum availability at all times of not less than 10% of the gross borrowing base. In addition, the credit agreements governing each of our revolving credit facility and our term loan facility contain customary affirmative and negative covenants, including covenants that limit our ability to incur, create or assume certain indebtedness, to create, incur or assume certain liens, to make certain investments, to make sales, transfers and dispositions of certain property and to undergo certain fundamental changes, including certain mergers, liquidations and consolidations. The revolving credit facility and term loan facility also contain customary events of default, including defaults triggered by defaults under the other facility. As of August 3, 2024, we were in compliance with all covenants under the credit agreements governing each of our revolving credit facility and our term loan facility.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Our financial statements are prepared in accordance with accounting principles generally accepted in the United States of America (“GAAP”). In connection with the preparation of the financial statements, we are required to make assumptions, make estimates and apply judgment that affect the reported amounts of assets, liabilities, revenue, expenses and the related disclosures. We base our assumptions, estimates and judgments on historical experience, current trends and other factors that we believe to be relevant at the time the condensed consolidated financial statements are prepared. On a regular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187"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There have been no significant changes to our critical accounting estimates as described in “Part II., Item 7., Management’s Discussion and Analysis of Financial Condition and Results of Operations” of our Fiscal 2023 Form 10-K.</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color w:val="auto"/>
        </w:rPr>
        <w:t>In evaluating our business, we use Adjusted EBITDA and Adjusted EBITDA margin as supplemental measures of our operating performance. We define Adjusted EBITDA as net (loss) income plus interest expense (benefit), income tax expense (benefit), depreciation and amortization, stock-based compensation expense, transition and severance costs related to director and officer transitions, and other gains, losses and expenses that we do not believe are indicative of our ongoing expenses. Beginning with the three months ended October 28, 2023, we no longer add back new store pre-opening expenses to our net (loss) income to determine Adjusted EBITDA. The presentation of past periods has been conformed to the current presentation. Net (loss) income is the most comparable GAAP financial measure to Adjusted EBITDA. We define Adjusted EBITDA margin as, for any period, the Adjusted</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EBITDA for that period divided by the net sales for that period. We consider Adjusted EBITDA and Adjusted EBITDA margin important supplemental measures of our operating performance and believe they are frequently used by analysts, investors and other interested parties in the evaluation of companies in our industry. Other companies in our industry, however, may calculate Adjusted EBITDA and Adjusted EBITDA margin differently than we do. Management also uses Adjusted EBITDA and Adjusted EBITDA margin as additional measurement tools for purposes of business decision-making, including evaluating store performance, developing budgets and managing expenditures. Management believes Adjusted EBITDA and Adjusted EBITDA margin allow investors to evaluate our operating performance and compare our results of operations from period to period on a consistent basis by excluding items that management does not believe are indicative of our core operating performance.</w:t>
      </w:r>
    </w:p>
    <w:p>
      <w:pPr>
        <w:spacing w:after="0" w:line="187"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Adjusted EBITDA is not defined under GAAP and is not a measure of operating income, operating performance or liquidity presented in accordance with GAAP. Adjusted EBITDA has limitations as an analytical tool, and when assessing our operating performance, you should not consider Adjusted EBITDA in isolation or as a substitute for net income or other condensed consolidated statement of operations data prepared in accordance with GAAP. Some of these limitations include, but are not limited to:</w:t>
      </w:r>
    </w:p>
    <w:p>
      <w:pPr>
        <w:spacing w:after="0" w:line="74" w:lineRule="exact"/>
        <w:rPr>
          <w:sz w:val="20"/>
          <w:szCs w:val="20"/>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cash expenditures or future requirements for capital expenditures or contractual commitments;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our working capital needs;</w:t>
      </w:r>
    </w:p>
    <w:p>
      <w:pPr>
        <w:spacing w:after="0" w:line="116" w:lineRule="exact"/>
        <w:rPr>
          <w:rFonts w:ascii="Times New Roman" w:cs="Times New Roman" w:eastAsia="Times New Roman" w:hAnsi="Times New Roman"/>
          <w:sz w:val="18"/>
          <w:szCs w:val="18"/>
          <w:color w:val="auto"/>
        </w:rPr>
      </w:pPr>
    </w:p>
    <w:p>
      <w:pPr>
        <w:ind w:left="1020" w:right="380" w:hanging="504"/>
        <w:spacing w:after="0" w:line="28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may be defined differently by other companies, and, therefore, it may not be directly comparable to the results of other companies in our industry;</w:t>
      </w:r>
    </w:p>
    <w:p>
      <w:pPr>
        <w:spacing w:after="0" w:line="54" w:lineRule="exact"/>
        <w:rPr>
          <w:rFonts w:ascii="Times New Roman" w:cs="Times New Roman" w:eastAsia="Times New Roman" w:hAnsi="Times New Roman"/>
          <w:sz w:val="18"/>
          <w:szCs w:val="18"/>
          <w:color w:val="auto"/>
        </w:rPr>
      </w:pPr>
    </w:p>
    <w:p>
      <w:pPr>
        <w:ind w:left="1020" w:right="280" w:hanging="504"/>
        <w:spacing w:after="0" w:line="28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interest expense, or the cash requirements necessary to service interest or principal payments, on our debt; and</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income taxes or the cash requirements for any tax payments.</w:t>
      </w:r>
    </w:p>
    <w:p>
      <w:pPr>
        <w:spacing w:after="0" w:line="225"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8"/>
          <w:szCs w:val="18"/>
          <w:color w:val="auto"/>
        </w:rPr>
        <w:t>A reconciliation of net loss, to Adjusted EBITDA and a calculation of Adjusted EBITDA margin is set forth below for the periods presented (amounts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40" w:type="dxa"/>
            <w:vAlign w:val="bottom"/>
            <w:gridSpan w:val="6"/>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58"/>
        </w:trPr>
        <w:tc>
          <w:tcPr>
            <w:tcW w:w="37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gridSpan w:val="2"/>
          </w:tcPr>
          <w:p>
            <w:pPr>
              <w:jc w:val="right"/>
              <w:ind w:right="840"/>
              <w:spacing w:after="0" w:line="157"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5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474"/>
              <w:spacing w:after="0" w:line="157" w:lineRule="exact"/>
              <w:rPr>
                <w:sz w:val="20"/>
                <w:szCs w:val="20"/>
                <w:color w:val="auto"/>
              </w:rPr>
            </w:pPr>
            <w:r>
              <w:rPr>
                <w:rFonts w:ascii="Times New Roman" w:cs="Times New Roman" w:eastAsia="Times New Roman" w:hAnsi="Times New Roman"/>
                <w:sz w:val="14"/>
                <w:szCs w:val="14"/>
                <w:b w:val="1"/>
                <w:bCs w:val="1"/>
                <w:color w:val="auto"/>
              </w:rPr>
              <w:t>July 29,</w:t>
            </w:r>
          </w:p>
        </w:tc>
        <w:tc>
          <w:tcPr>
            <w:tcW w:w="30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jc w:val="right"/>
              <w:ind w:right="820"/>
              <w:spacing w:after="0" w:line="157"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3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ind w:right="493"/>
              <w:spacing w:after="0" w:line="157" w:lineRule="exact"/>
              <w:rPr>
                <w:sz w:val="20"/>
                <w:szCs w:val="20"/>
                <w:color w:val="auto"/>
              </w:rPr>
            </w:pPr>
            <w:r>
              <w:rPr>
                <w:rFonts w:ascii="Times New Roman" w:cs="Times New Roman" w:eastAsia="Times New Roman" w:hAnsi="Times New Roman"/>
                <w:sz w:val="14"/>
                <w:szCs w:val="14"/>
                <w:b w:val="1"/>
                <w:bCs w:val="1"/>
                <w:color w:val="auto"/>
              </w:rPr>
              <w:t>July 29,</w:t>
            </w:r>
          </w:p>
        </w:tc>
        <w:tc>
          <w:tcPr>
            <w:tcW w:w="200" w:type="dxa"/>
            <w:vAlign w:val="bottom"/>
            <w:gridSpan w:val="2"/>
          </w:tcPr>
          <w:p>
            <w:pPr>
              <w:spacing w:after="0"/>
              <w:rPr>
                <w:sz w:val="13"/>
                <w:szCs w:val="13"/>
                <w:color w:val="auto"/>
              </w:rPr>
            </w:pPr>
          </w:p>
        </w:tc>
      </w:tr>
      <w:tr>
        <w:trPr>
          <w:trHeight w:val="187"/>
        </w:trPr>
        <w:tc>
          <w:tcPr>
            <w:tcW w:w="37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(1)</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(5,906 )</w:t>
            </w: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(3,288 )</w:t>
            </w: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(23,972 )</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(18,927 )</w:t>
            </w:r>
          </w:p>
        </w:tc>
        <w:tc>
          <w:tcPr>
            <w:tcW w:w="100" w:type="dxa"/>
            <w:vAlign w:val="bottom"/>
          </w:tcPr>
          <w:p>
            <w:pPr>
              <w:spacing w:after="0"/>
              <w:rPr>
                <w:sz w:val="21"/>
                <w:szCs w:val="21"/>
                <w:color w:val="auto"/>
              </w:rPr>
            </w:pPr>
          </w:p>
        </w:tc>
      </w:tr>
      <w:tr>
        <w:trPr>
          <w:trHeight w:val="238"/>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3,527</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6,091</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2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(2,057 )</w:t>
            </w:r>
          </w:p>
        </w:tc>
        <w:tc>
          <w:tcPr>
            <w:tcW w:w="5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(1,756 )</w:t>
            </w:r>
          </w:p>
        </w:tc>
        <w:tc>
          <w:tcPr>
            <w:tcW w:w="50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(7,526 )</w:t>
            </w:r>
          </w:p>
        </w:tc>
        <w:tc>
          <w:tcPr>
            <w:tcW w:w="3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(7,123 )</w:t>
            </w:r>
          </w:p>
        </w:tc>
        <w:tc>
          <w:tcPr>
            <w:tcW w:w="100" w:type="dxa"/>
            <w:vAlign w:val="bottom"/>
          </w:tcPr>
          <w:p>
            <w:pPr>
              <w:spacing w:after="0"/>
              <w:rPr>
                <w:sz w:val="21"/>
                <w:szCs w:val="21"/>
                <w:color w:val="auto"/>
              </w:rPr>
            </w:pPr>
          </w:p>
        </w:tc>
      </w:tr>
      <w:tr>
        <w:trPr>
          <w:trHeight w:val="238"/>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10,160</w:t>
            </w: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8,967</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20,552</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(2)</w:t>
            </w:r>
          </w:p>
        </w:tc>
        <w:tc>
          <w:tcPr>
            <w:tcW w:w="3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3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3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4"/>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and officer transition costs (3)</w:t>
            </w:r>
          </w:p>
        </w:tc>
        <w:tc>
          <w:tcPr>
            <w:tcW w:w="3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1"/>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Cancelled contract (4)</w:t>
            </w:r>
          </w:p>
        </w:tc>
        <w:tc>
          <w:tcPr>
            <w:tcW w:w="3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3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38"/>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reduction plan (5)</w:t>
            </w:r>
          </w:p>
        </w:tc>
        <w:tc>
          <w:tcPr>
            <w:tcW w:w="32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3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Legal settlement (6)</w:t>
            </w:r>
          </w:p>
        </w:tc>
        <w:tc>
          <w:tcPr>
            <w:tcW w:w="3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3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7,409</w:t>
            </w:r>
          </w:p>
        </w:tc>
        <w:tc>
          <w:tcPr>
            <w:tcW w:w="300" w:type="dxa"/>
            <w:vAlign w:val="bottom"/>
          </w:tcPr>
          <w:p>
            <w:pPr>
              <w:spacing w:after="0"/>
              <w:rPr>
                <w:sz w:val="20"/>
                <w:szCs w:val="20"/>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10,901</w:t>
            </w:r>
          </w:p>
        </w:tc>
        <w:tc>
          <w:tcPr>
            <w:tcW w:w="30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(1,328 )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3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3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288,734</w:t>
            </w:r>
          </w:p>
        </w:tc>
        <w:tc>
          <w:tcPr>
            <w:tcW w:w="30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309,495</w:t>
            </w:r>
          </w:p>
        </w:tc>
        <w:tc>
          <w:tcPr>
            <w:tcW w:w="30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532,974</w:t>
            </w: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577,024</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4"/>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margin</w:t>
            </w:r>
          </w:p>
        </w:tc>
        <w:tc>
          <w:tcPr>
            <w:tcW w:w="320" w:type="dxa"/>
            <w:vAlign w:val="bottom"/>
          </w:tcPr>
          <w:p>
            <w:pPr>
              <w:spacing w:after="0"/>
              <w:rPr>
                <w:sz w:val="20"/>
                <w:szCs w:val="20"/>
                <w:color w:val="auto"/>
              </w:rPr>
            </w:pP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(2.1 )%</w:t>
            </w:r>
          </w:p>
        </w:tc>
        <w:tc>
          <w:tcPr>
            <w:tcW w:w="560" w:type="dxa"/>
            <w:vAlign w:val="bottom"/>
          </w:tcPr>
          <w:p>
            <w:pPr>
              <w:spacing w:after="0"/>
              <w:rPr>
                <w:sz w:val="20"/>
                <w:szCs w:val="20"/>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(1.1 )%</w:t>
            </w:r>
          </w:p>
        </w:tc>
        <w:tc>
          <w:tcPr>
            <w:tcW w:w="500" w:type="dxa"/>
            <w:vAlign w:val="bottom"/>
          </w:tcPr>
          <w:p>
            <w:pPr>
              <w:spacing w:after="0"/>
              <w:rPr>
                <w:sz w:val="20"/>
                <w:szCs w:val="20"/>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(4.5 )%</w:t>
            </w:r>
          </w:p>
        </w:tc>
        <w:tc>
          <w:tcPr>
            <w:tcW w:w="34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38"/>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margin (7)</w:t>
            </w:r>
          </w:p>
        </w:tc>
        <w:tc>
          <w:tcPr>
            <w:tcW w:w="320" w:type="dxa"/>
            <w:vAlign w:val="bottom"/>
          </w:tcPr>
          <w:p>
            <w:pPr>
              <w:spacing w:after="0"/>
              <w:rPr>
                <w:sz w:val="20"/>
                <w:szCs w:val="20"/>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2.6 %</w:t>
            </w:r>
          </w:p>
        </w:tc>
        <w:tc>
          <w:tcPr>
            <w:tcW w:w="56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3.5 %</w:t>
            </w:r>
          </w:p>
        </w:tc>
        <w:tc>
          <w:tcPr>
            <w:tcW w:w="500" w:type="dxa"/>
            <w:vAlign w:val="bottom"/>
          </w:tcPr>
          <w:p>
            <w:pPr>
              <w:spacing w:after="0"/>
              <w:rPr>
                <w:sz w:val="20"/>
                <w:szCs w:val="20"/>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(0.2 )%</w:t>
            </w:r>
          </w:p>
        </w:tc>
        <w:tc>
          <w:tcPr>
            <w:tcW w:w="340" w:type="dxa"/>
            <w:vAlign w:val="bottom"/>
          </w:tcPr>
          <w:p>
            <w:pPr>
              <w:spacing w:after="0"/>
              <w:rPr>
                <w:sz w:val="20"/>
                <w:szCs w:val="20"/>
                <w:color w:val="auto"/>
              </w:rPr>
            </w:pP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543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3413125</wp:posOffset>
            </wp:positionH>
            <wp:positionV relativeFrom="paragraph">
              <wp:posOffset>-795655</wp:posOffset>
            </wp:positionV>
            <wp:extent cx="7683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-795655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-795655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-795655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68"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719455</wp:posOffset>
            </wp:positionV>
            <wp:extent cx="238061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3806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20" w:right="80" w:hanging="512"/>
        <w:spacing w:after="0" w:line="265"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with the three months ended October 28, 2023, we no longer add back new store pre-opening expenses to our net (loss) income to determine Adjusted EBITDA. The presentation of past periods has been conformed to the current presentation. For the 13 and 26 weeks ended July 30, 2023 we had $2.2 million and $4.4 million in new store pre-opening expenses.</w:t>
      </w:r>
    </w:p>
    <w:p>
      <w:pPr>
        <w:spacing w:after="0" w:line="2" w:lineRule="exact"/>
        <w:rPr>
          <w:rFonts w:ascii="Times New Roman" w:cs="Times New Roman" w:eastAsia="Times New Roman" w:hAnsi="Times New Roman"/>
          <w:sz w:val="18"/>
          <w:szCs w:val="18"/>
          <w:color w:val="auto"/>
        </w:rPr>
      </w:pPr>
    </w:p>
    <w:p>
      <w:pPr>
        <w:ind w:left="520" w:hanging="512"/>
        <w:spacing w:after="0" w:line="260"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 represents non-cash expenses related to equity instruments granted to employees under our equity incentive plan and employee stock purchase plan.</w:t>
      </w:r>
    </w:p>
    <w:p>
      <w:pPr>
        <w:spacing w:after="0" w:line="1" w:lineRule="exact"/>
        <w:rPr>
          <w:rFonts w:ascii="Times New Roman" w:cs="Times New Roman" w:eastAsia="Times New Roman" w:hAnsi="Times New Roman"/>
          <w:sz w:val="18"/>
          <w:szCs w:val="18"/>
          <w:color w:val="auto"/>
        </w:rPr>
      </w:pPr>
    </w:p>
    <w:p>
      <w:pPr>
        <w:ind w:left="520" w:right="280" w:hanging="512"/>
        <w:spacing w:after="0" w:line="250"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relating to the departure of directors and officers and the recruitment of directors and key members of our senior management team.</w:t>
      </w: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fees and expenses related to a settlement in the cancellation of a contract related to our information technology systems.</w:t>
      </w:r>
    </w:p>
    <w:p>
      <w:pPr>
        <w:spacing w:after="0" w:line="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expenses paid as part of our cost reduction plan implemented during the 13 weeks ended July 29, 2023.</w:t>
      </w:r>
    </w:p>
    <w:p>
      <w:pPr>
        <w:spacing w:after="0" w:line="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legal settlement and related fees and expenses.</w:t>
      </w:r>
    </w:p>
    <w:p>
      <w:pPr>
        <w:spacing w:after="0" w:line="8" w:lineRule="exact"/>
        <w:rPr>
          <w:rFonts w:ascii="Times New Roman" w:cs="Times New Roman" w:eastAsia="Times New Roman" w:hAnsi="Times New Roman"/>
          <w:sz w:val="18"/>
          <w:szCs w:val="18"/>
          <w:color w:val="auto"/>
        </w:rPr>
      </w:pPr>
    </w:p>
    <w:p>
      <w:pPr>
        <w:ind w:left="520" w:right="200" w:hanging="512"/>
        <w:spacing w:after="0" w:line="260"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calculate net income margin as net income divided by net sales and we define Adjusted EBITDA margin as Adjusted EBITDA divided by net sales.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principal exposure to market risk relates to changes in interest rates. Borrowings under our revolving credit facility and our term loan carry floating interest rates tied to SOFR, the federal funds rate and the prime rate, and, therefore, our income and cash flows will be exposed to changes in interest rates to the extent that we do not have effective hedging arrangements in place. We historically have not used interest rate swap agreements to hedge the variable cash flows associated with the interest on our credit facilities. Based on a sensitivity analysis at August 3, 2024, assuming the amount outstanding under our revolving credit facility and term loan would be outstanding for a full year, a 100 basis point increase in interest rates would have increased our interest expense by $1.7 million. We do not use derivative financial instruments for speculative or trading purposes. However, this does not preclude our adoption of specific hedging strategies in the future.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disclosure controls and procedures (as defined in Rules 13a-15(e) and 15d-15(e) under the Securities Exchange Act of 1934, as amended (the “Exchange Act”) ) are designed to ensure that information required to be disclosed in the reports that we file or submit under the Exchange Act is recorded, processed, summarized, and reported within the time periods specified in the SEC’s rules and forms and to ensure that information required to be disclosed is accumulated and communicated to our management, including our Chief Executive Officer and Chief Financial Officer, as appropriate, to allow for timely decisions regarding required disclosures. Our management has evaluated, under the supervision and with the participation of our Chief Executive Officer and Chief Financial Officer, the effectiveness of our disclosure controls and procedures (as defined in Rules 13a-15(e) and 15d-15(e) under the Exchange Act) as of the end of the period covered by this 10-Q. Based on that evaluation, our Chief Executive Officer and Chief Financial Officer have concluded that our disclosure controls and procedures were effective as of August 3,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in Effectiveness of Controls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 making can be faulty, and that breakdowns can occur because of simple error or mistake or fraud. Additionally, controls can be circumvented by individuals or groups of persons or by an unauthorized override of the controls. Accordingly, because of the inherent limitations in our control system, misstatements in our public reports due to error or fraud may occur and not be detected.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13a-15(d) and 15d-15(d) under the Exchange Act) during the 13 weeks ended August 3, 2024 that have materially affected, or are reasonably likely to materially affect, our internal control over financial reporting.</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18"/>
          <w:szCs w:val="18"/>
          <w:color w:val="auto"/>
        </w:rPr>
        <w:t>See Note 12, “Commitments and Contingencies” to our condensed consolidated financial statements for additional information, which is incorporated herein by reference.</w:t>
      </w:r>
    </w:p>
    <w:p>
      <w:pPr>
        <w:spacing w:after="0" w:line="5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The pending lawsuit described in Note 12 of our unaudited interim consolidated financial statements is subject to inherent uncertainties, and the actual defense and disposition costs will depend upon unknown factors. The outcomes of the pending lawsuit are necessarily uncertain. We also could be forced to expend significant resources in the defense of the pending lawsuit, including substantial legal fees and costs.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Our business faces significant risks and uncertainties. Certain important factors may have a material adverse effect on our business prospects, financial condition and results of operations, and you should carefully consider them. There have been no material changes in our risk factors from those set forth in our Fiscal 2023 Form 10-K.</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8"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76" w:lineRule="exact"/>
        <w:rPr>
          <w:sz w:val="20"/>
          <w:szCs w:val="20"/>
          <w:color w:val="auto"/>
        </w:rPr>
      </w:pPr>
    </w:p>
    <w:p>
      <w:pPr>
        <w:ind w:left="240"/>
        <w:spacing w:after="0"/>
        <w:tabs>
          <w:tab w:leader="none" w:pos="6080" w:val="left"/>
        </w:tabs>
        <w:rPr>
          <w:sz w:val="20"/>
          <w:szCs w:val="20"/>
          <w:color w:val="auto"/>
        </w:rPr>
      </w:pPr>
      <w:r>
        <w:rPr>
          <w:rFonts w:ascii="Times New Roman" w:cs="Times New Roman" w:eastAsia="Times New Roman" w:hAnsi="Times New Roman"/>
          <w:sz w:val="14"/>
          <w:szCs w:val="14"/>
          <w:b w:val="1"/>
          <w:bCs w:val="1"/>
          <w:color w:val="auto"/>
        </w:rPr>
        <w:t>Exhibit 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768" w:right="439" w:bottom="1440" w:gutter="0" w:footer="0" w:header="0"/>
        </w:sectPr>
      </w:pPr>
    </w:p>
    <w:p>
      <w:pPr>
        <w:spacing w:after="0" w:line="3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3.1</w:t>
      </w:r>
    </w:p>
    <w:p>
      <w:pPr>
        <w:spacing w:after="0" w:line="200" w:lineRule="exact"/>
        <w:rPr>
          <w:sz w:val="20"/>
          <w:szCs w:val="20"/>
          <w:color w:val="auto"/>
        </w:rPr>
      </w:pPr>
    </w:p>
    <w:p>
      <w:pPr>
        <w:spacing w:after="0" w:line="2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3.2</w:t>
      </w:r>
    </w:p>
    <w:p>
      <w:pPr>
        <w:spacing w:after="0" w:line="200" w:lineRule="exact"/>
        <w:rPr>
          <w:sz w:val="20"/>
          <w:szCs w:val="20"/>
          <w:color w:val="auto"/>
        </w:rPr>
      </w:pPr>
    </w:p>
    <w:p>
      <w:pPr>
        <w:spacing w:after="0" w:line="2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2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10.2</w:t>
      </w:r>
    </w:p>
    <w:p>
      <w:pPr>
        <w:spacing w:after="0" w:line="200" w:lineRule="exact"/>
        <w:rPr>
          <w:sz w:val="20"/>
          <w:szCs w:val="20"/>
          <w:color w:val="auto"/>
        </w:rPr>
      </w:pPr>
    </w:p>
    <w:p>
      <w:pPr>
        <w:spacing w:after="0" w:line="2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10.3</w:t>
      </w:r>
    </w:p>
    <w:p>
      <w:pPr>
        <w:spacing w:after="0" w:line="200" w:lineRule="exact"/>
        <w:rPr>
          <w:sz w:val="20"/>
          <w:szCs w:val="20"/>
          <w:color w:val="auto"/>
        </w:rPr>
      </w:pPr>
    </w:p>
    <w:p>
      <w:pPr>
        <w:spacing w:after="0" w:line="2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10.4</w:t>
      </w:r>
    </w:p>
    <w:p>
      <w:pPr>
        <w:spacing w:after="0" w:line="200" w:lineRule="exact"/>
        <w:rPr>
          <w:sz w:val="20"/>
          <w:szCs w:val="20"/>
          <w:color w:val="auto"/>
        </w:rPr>
      </w:pPr>
    </w:p>
    <w:p>
      <w:pPr>
        <w:spacing w:after="0" w:line="2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10.5</w:t>
      </w:r>
    </w:p>
    <w:p>
      <w:pPr>
        <w:spacing w:after="0" w:line="200" w:lineRule="exact"/>
        <w:rPr>
          <w:sz w:val="20"/>
          <w:szCs w:val="20"/>
          <w:color w:val="auto"/>
        </w:rPr>
      </w:pPr>
    </w:p>
    <w:p>
      <w:pPr>
        <w:spacing w:after="0" w:line="2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10.6</w:t>
      </w:r>
    </w:p>
    <w:p>
      <w:pPr>
        <w:spacing w:after="0" w:line="200" w:lineRule="exact"/>
        <w:rPr>
          <w:sz w:val="20"/>
          <w:szCs w:val="20"/>
          <w:color w:val="auto"/>
        </w:rPr>
      </w:pPr>
    </w:p>
    <w:p>
      <w:pPr>
        <w:spacing w:after="0" w:line="2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10.7</w:t>
      </w:r>
    </w:p>
    <w:p>
      <w:pPr>
        <w:spacing w:after="0" w:line="3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31.1*</w:t>
      </w:r>
    </w:p>
    <w:p>
      <w:pPr>
        <w:spacing w:after="0" w:line="2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31.2*</w:t>
      </w:r>
    </w:p>
    <w:p>
      <w:pPr>
        <w:spacing w:after="0" w:line="3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32.1**</w:t>
      </w:r>
    </w:p>
    <w:p>
      <w:pPr>
        <w:spacing w:after="0" w:line="200" w:lineRule="exact"/>
        <w:rPr>
          <w:sz w:val="20"/>
          <w:szCs w:val="20"/>
          <w:color w:val="auto"/>
        </w:rPr>
      </w:pPr>
    </w:p>
    <w:p>
      <w:pPr>
        <w:spacing w:after="0" w:line="2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101.INS*</w:t>
      </w:r>
    </w:p>
    <w:p>
      <w:pPr>
        <w:spacing w:after="0" w:line="3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101.SCH*</w:t>
      </w:r>
    </w:p>
    <w:p>
      <w:pPr>
        <w:spacing w:after="0" w:line="2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ind w:right="20"/>
        <w:spacing w:after="0" w:line="281" w:lineRule="auto"/>
        <w:rPr>
          <w:rFonts w:ascii="Times New Roman" w:cs="Times New Roman" w:eastAsia="Times New Roman" w:hAnsi="Times New Roman"/>
          <w:sz w:val="18"/>
          <w:szCs w:val="18"/>
          <w:u w:val="single" w:color="auto"/>
          <w:color w:val="0000FF"/>
        </w:rPr>
      </w:pPr>
      <w:hyperlink r:id="rId320">
        <w:r>
          <w:rPr>
            <w:rFonts w:ascii="Times New Roman" w:cs="Times New Roman" w:eastAsia="Times New Roman" w:hAnsi="Times New Roman"/>
            <w:sz w:val="18"/>
            <w:szCs w:val="18"/>
            <w:u w:val="single" w:color="auto"/>
            <w:color w:val="0000FF"/>
          </w:rPr>
          <w:t>Amended and Restated Certificate of Incorporation of Sportsman’s Warehouse Holdings, Inc. (incorporated by reference to Exhibit</w:t>
        </w:r>
      </w:hyperlink>
      <w:r>
        <w:rPr>
          <w:rFonts w:ascii="Times New Roman" w:cs="Times New Roman" w:eastAsia="Times New Roman" w:hAnsi="Times New Roman"/>
          <w:sz w:val="18"/>
          <w:szCs w:val="18"/>
          <w:u w:val="single" w:color="auto"/>
          <w:color w:val="0000FF"/>
        </w:rPr>
        <w:t xml:space="preserve"> </w:t>
      </w:r>
      <w:hyperlink r:id="rId320">
        <w:r>
          <w:rPr>
            <w:rFonts w:ascii="Times New Roman" w:cs="Times New Roman" w:eastAsia="Times New Roman" w:hAnsi="Times New Roman"/>
            <w:sz w:val="18"/>
            <w:szCs w:val="18"/>
            <w:u w:val="single" w:color="auto"/>
            <w:color w:val="0000FF"/>
          </w:rPr>
          <w:t>3.1 to the Company’s Current Report on Form 8-K, filed with the SEC on June 8,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-304165</wp:posOffset>
            </wp:positionV>
            <wp:extent cx="7132320" cy="29083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7132320" cy="290830"/>
                    </a:xfrm>
                    <a:prstGeom prst="rect">
                      <a:avLst/>
                    </a:prstGeom>
                    <a:noFill/>
                  </pic:spPr>
                </pic:pic>
              </a:graphicData>
            </a:graphic>
          </wp:anchor>
        </w:drawing>
      </w:r>
    </w:p>
    <w:p>
      <w:pPr>
        <w:spacing w:after="0" w:line="196" w:lineRule="exact"/>
        <w:rPr>
          <w:sz w:val="20"/>
          <w:szCs w:val="20"/>
          <w:color w:val="auto"/>
        </w:rPr>
      </w:pPr>
    </w:p>
    <w:p>
      <w:pPr>
        <w:ind w:right="200"/>
        <w:spacing w:after="0" w:line="281" w:lineRule="auto"/>
        <w:rPr>
          <w:rFonts w:ascii="Times New Roman" w:cs="Times New Roman" w:eastAsia="Times New Roman" w:hAnsi="Times New Roman"/>
          <w:sz w:val="18"/>
          <w:szCs w:val="18"/>
          <w:u w:val="single" w:color="auto"/>
          <w:color w:val="0000FF"/>
        </w:rPr>
      </w:pPr>
      <w:hyperlink r:id="rId322">
        <w:r>
          <w:rPr>
            <w:rFonts w:ascii="Times New Roman" w:cs="Times New Roman" w:eastAsia="Times New Roman" w:hAnsi="Times New Roman"/>
            <w:sz w:val="18"/>
            <w:szCs w:val="18"/>
            <w:u w:val="single" w:color="auto"/>
            <w:color w:val="0000FF"/>
          </w:rPr>
          <w:t>Fourth Amended and Restated Bylaws of Sportsman’s Warehouse Holdings, Inc. (incorporated by reference to Exhibit 3.1 to the</w:t>
        </w:r>
      </w:hyperlink>
      <w:r>
        <w:rPr>
          <w:rFonts w:ascii="Times New Roman" w:cs="Times New Roman" w:eastAsia="Times New Roman" w:hAnsi="Times New Roman"/>
          <w:sz w:val="18"/>
          <w:szCs w:val="18"/>
          <w:u w:val="single" w:color="auto"/>
          <w:color w:val="0000FF"/>
        </w:rPr>
        <w:t xml:space="preserve"> </w:t>
      </w:r>
      <w:hyperlink r:id="rId322">
        <w:r>
          <w:rPr>
            <w:rFonts w:ascii="Times New Roman" w:cs="Times New Roman" w:eastAsia="Times New Roman" w:hAnsi="Times New Roman"/>
            <w:sz w:val="18"/>
            <w:szCs w:val="18"/>
            <w:u w:val="single" w:color="auto"/>
            <w:color w:val="0000FF"/>
          </w:rPr>
          <w:t>Current Report on Form 8-K, filed with the SEC on March 25,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-304165</wp:posOffset>
            </wp:positionV>
            <wp:extent cx="7132320" cy="29083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3">
                      <a:extLst>
                        <a:ext uri="{28A0092B-C50C-407E-A947-70E740481C1C}"/>
                      </a:extLst>
                    </a:blip>
                    <a:srcRect/>
                    <a:stretch>
                      <a:fillRect/>
                    </a:stretch>
                  </pic:blipFill>
                  <pic:spPr bwMode="auto">
                    <a:xfrm>
                      <a:off x="0" y="0"/>
                      <a:ext cx="7132320" cy="290830"/>
                    </a:xfrm>
                    <a:prstGeom prst="rect">
                      <a:avLst/>
                    </a:prstGeom>
                    <a:noFill/>
                  </pic:spPr>
                </pic:pic>
              </a:graphicData>
            </a:graphic>
          </wp:anchor>
        </w:drawing>
      </w:r>
    </w:p>
    <w:p>
      <w:pPr>
        <w:spacing w:after="0" w:line="196" w:lineRule="exact"/>
        <w:rPr>
          <w:sz w:val="20"/>
          <w:szCs w:val="20"/>
          <w:color w:val="auto"/>
        </w:rPr>
      </w:pPr>
    </w:p>
    <w:p>
      <w:pPr>
        <w:ind w:right="360"/>
        <w:spacing w:after="0" w:line="281" w:lineRule="auto"/>
        <w:rPr>
          <w:rFonts w:ascii="Times New Roman" w:cs="Times New Roman" w:eastAsia="Times New Roman" w:hAnsi="Times New Roman"/>
          <w:sz w:val="18"/>
          <w:szCs w:val="18"/>
          <w:u w:val="single" w:color="auto"/>
          <w:color w:val="0000FF"/>
        </w:rPr>
      </w:pPr>
      <w:hyperlink r:id="rId324">
        <w:r>
          <w:rPr>
            <w:rFonts w:ascii="Times New Roman" w:cs="Times New Roman" w:eastAsia="Times New Roman" w:hAnsi="Times New Roman"/>
            <w:sz w:val="18"/>
            <w:szCs w:val="18"/>
            <w:u w:val="single" w:color="auto"/>
            <w:color w:val="0000FF"/>
          </w:rPr>
          <w:t>ABL Term Loan Credit Agreement of Sportsman’s Warehouse Holdings, Inc. (incorporated by reference to Exhibit 10.1 to the</w:t>
        </w:r>
      </w:hyperlink>
      <w:r>
        <w:rPr>
          <w:rFonts w:ascii="Times New Roman" w:cs="Times New Roman" w:eastAsia="Times New Roman" w:hAnsi="Times New Roman"/>
          <w:sz w:val="18"/>
          <w:szCs w:val="18"/>
          <w:u w:val="single" w:color="auto"/>
          <w:color w:val="0000FF"/>
        </w:rPr>
        <w:t xml:space="preserve"> </w:t>
      </w:r>
      <w:hyperlink r:id="rId324">
        <w:r>
          <w:rPr>
            <w:rFonts w:ascii="Times New Roman" w:cs="Times New Roman" w:eastAsia="Times New Roman" w:hAnsi="Times New Roman"/>
            <w:sz w:val="18"/>
            <w:szCs w:val="18"/>
            <w:u w:val="single" w:color="auto"/>
            <w:color w:val="0000FF"/>
          </w:rPr>
          <w:t>Company’s Current Report on Form 8-K, filed with the SEC on August 1,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-304165</wp:posOffset>
            </wp:positionV>
            <wp:extent cx="7132320" cy="29083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5">
                      <a:extLst>
                        <a:ext uri="{28A0092B-C50C-407E-A947-70E740481C1C}"/>
                      </a:extLst>
                    </a:blip>
                    <a:srcRect/>
                    <a:stretch>
                      <a:fillRect/>
                    </a:stretch>
                  </pic:blipFill>
                  <pic:spPr bwMode="auto">
                    <a:xfrm>
                      <a:off x="0" y="0"/>
                      <a:ext cx="7132320" cy="290830"/>
                    </a:xfrm>
                    <a:prstGeom prst="rect">
                      <a:avLst/>
                    </a:prstGeom>
                    <a:noFill/>
                  </pic:spPr>
                </pic:pic>
              </a:graphicData>
            </a:graphic>
          </wp:anchor>
        </w:drawing>
      </w:r>
    </w:p>
    <w:p>
      <w:pPr>
        <w:spacing w:after="0" w:line="196" w:lineRule="exact"/>
        <w:rPr>
          <w:sz w:val="20"/>
          <w:szCs w:val="20"/>
          <w:color w:val="auto"/>
        </w:rPr>
      </w:pPr>
    </w:p>
    <w:p>
      <w:pPr>
        <w:ind w:right="480"/>
        <w:spacing w:after="0" w:line="281" w:lineRule="auto"/>
        <w:rPr>
          <w:rFonts w:ascii="Times New Roman" w:cs="Times New Roman" w:eastAsia="Times New Roman" w:hAnsi="Times New Roman"/>
          <w:sz w:val="18"/>
          <w:szCs w:val="18"/>
          <w:u w:val="single" w:color="auto"/>
          <w:color w:val="0000FF"/>
        </w:rPr>
      </w:pPr>
      <w:hyperlink r:id="rId326">
        <w:r>
          <w:rPr>
            <w:rFonts w:ascii="Times New Roman" w:cs="Times New Roman" w:eastAsia="Times New Roman" w:hAnsi="Times New Roman"/>
            <w:sz w:val="18"/>
            <w:szCs w:val="18"/>
            <w:u w:val="single" w:color="auto"/>
            <w:color w:val="0000FF"/>
          </w:rPr>
          <w:t>Second Amendment to Amended and Restated Credit Agreement of Sportsman’s Warehouse Holdings, Inc. (incorporated by</w:t>
        </w:r>
      </w:hyperlink>
      <w:r>
        <w:rPr>
          <w:rFonts w:ascii="Times New Roman" w:cs="Times New Roman" w:eastAsia="Times New Roman" w:hAnsi="Times New Roman"/>
          <w:sz w:val="18"/>
          <w:szCs w:val="18"/>
          <w:u w:val="single" w:color="auto"/>
          <w:color w:val="0000FF"/>
        </w:rPr>
        <w:t xml:space="preserve"> </w:t>
      </w:r>
      <w:hyperlink r:id="rId326">
        <w:r>
          <w:rPr>
            <w:rFonts w:ascii="Times New Roman" w:cs="Times New Roman" w:eastAsia="Times New Roman" w:hAnsi="Times New Roman"/>
            <w:sz w:val="18"/>
            <w:szCs w:val="18"/>
            <w:u w:val="single" w:color="auto"/>
            <w:color w:val="0000FF"/>
          </w:rPr>
          <w:t>reference to Exhibit 10.2 to the Company’s Current Report on Form 8-K, filed with the SEC on August 1,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-304165</wp:posOffset>
            </wp:positionV>
            <wp:extent cx="7132320" cy="29083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7">
                      <a:extLst>
                        <a:ext uri="{28A0092B-C50C-407E-A947-70E740481C1C}"/>
                      </a:extLst>
                    </a:blip>
                    <a:srcRect/>
                    <a:stretch>
                      <a:fillRect/>
                    </a:stretch>
                  </pic:blipFill>
                  <pic:spPr bwMode="auto">
                    <a:xfrm>
                      <a:off x="0" y="0"/>
                      <a:ext cx="7132320" cy="290830"/>
                    </a:xfrm>
                    <a:prstGeom prst="rect">
                      <a:avLst/>
                    </a:prstGeom>
                    <a:noFill/>
                  </pic:spPr>
                </pic:pic>
              </a:graphicData>
            </a:graphic>
          </wp:anchor>
        </w:drawing>
      </w:r>
    </w:p>
    <w:p>
      <w:pPr>
        <w:spacing w:after="0" w:line="196" w:lineRule="exact"/>
        <w:rPr>
          <w:sz w:val="20"/>
          <w:szCs w:val="20"/>
          <w:color w:val="auto"/>
        </w:rPr>
      </w:pPr>
    </w:p>
    <w:p>
      <w:pPr>
        <w:ind w:right="180"/>
        <w:spacing w:after="0" w:line="281" w:lineRule="auto"/>
        <w:rPr>
          <w:rFonts w:ascii="Times New Roman" w:cs="Times New Roman" w:eastAsia="Times New Roman" w:hAnsi="Times New Roman"/>
          <w:sz w:val="18"/>
          <w:szCs w:val="18"/>
          <w:u w:val="single" w:color="auto"/>
          <w:color w:val="0000FF"/>
        </w:rPr>
      </w:pPr>
      <w:hyperlink r:id="rId328">
        <w:r>
          <w:rPr>
            <w:rFonts w:ascii="Times New Roman" w:cs="Times New Roman" w:eastAsia="Times New Roman" w:hAnsi="Times New Roman"/>
            <w:sz w:val="18"/>
            <w:szCs w:val="18"/>
            <w:u w:val="single" w:color="auto"/>
            <w:color w:val="0000FF"/>
          </w:rPr>
          <w:t>Facility Guaranty of Sportsman’s Warehouse Holdings, Inc. (incorporated by reference to Exhibit 10.3 to the Company’s Current</w:t>
        </w:r>
      </w:hyperlink>
      <w:r>
        <w:rPr>
          <w:rFonts w:ascii="Times New Roman" w:cs="Times New Roman" w:eastAsia="Times New Roman" w:hAnsi="Times New Roman"/>
          <w:sz w:val="18"/>
          <w:szCs w:val="18"/>
          <w:u w:val="single" w:color="auto"/>
          <w:color w:val="0000FF"/>
        </w:rPr>
        <w:t xml:space="preserve"> </w:t>
      </w:r>
      <w:hyperlink r:id="rId328">
        <w:r>
          <w:rPr>
            <w:rFonts w:ascii="Times New Roman" w:cs="Times New Roman" w:eastAsia="Times New Roman" w:hAnsi="Times New Roman"/>
            <w:sz w:val="18"/>
            <w:szCs w:val="18"/>
            <w:u w:val="single" w:color="auto"/>
            <w:color w:val="0000FF"/>
          </w:rPr>
          <w:t>Report on Form 8-K, filed with the SEC on August 1,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-304165</wp:posOffset>
            </wp:positionV>
            <wp:extent cx="7132320" cy="29083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9">
                      <a:extLst>
                        <a:ext uri="{28A0092B-C50C-407E-A947-70E740481C1C}"/>
                      </a:extLst>
                    </a:blip>
                    <a:srcRect/>
                    <a:stretch>
                      <a:fillRect/>
                    </a:stretch>
                  </pic:blipFill>
                  <pic:spPr bwMode="auto">
                    <a:xfrm>
                      <a:off x="0" y="0"/>
                      <a:ext cx="7132320" cy="290830"/>
                    </a:xfrm>
                    <a:prstGeom prst="rect">
                      <a:avLst/>
                    </a:prstGeom>
                    <a:noFill/>
                  </pic:spPr>
                </pic:pic>
              </a:graphicData>
            </a:graphic>
          </wp:anchor>
        </w:drawing>
      </w:r>
    </w:p>
    <w:p>
      <w:pPr>
        <w:spacing w:after="0" w:line="196" w:lineRule="exact"/>
        <w:rPr>
          <w:sz w:val="20"/>
          <w:szCs w:val="20"/>
          <w:color w:val="auto"/>
        </w:rPr>
      </w:pPr>
    </w:p>
    <w:p>
      <w:pPr>
        <w:spacing w:after="0" w:line="281" w:lineRule="auto"/>
        <w:rPr>
          <w:rFonts w:ascii="Times New Roman" w:cs="Times New Roman" w:eastAsia="Times New Roman" w:hAnsi="Times New Roman"/>
          <w:sz w:val="18"/>
          <w:szCs w:val="18"/>
          <w:u w:val="single" w:color="auto"/>
          <w:color w:val="0000FF"/>
        </w:rPr>
      </w:pPr>
      <w:hyperlink r:id="rId330">
        <w:r>
          <w:rPr>
            <w:rFonts w:ascii="Times New Roman" w:cs="Times New Roman" w:eastAsia="Times New Roman" w:hAnsi="Times New Roman"/>
            <w:sz w:val="18"/>
            <w:szCs w:val="18"/>
            <w:u w:val="single" w:color="auto"/>
            <w:color w:val="0000FF"/>
          </w:rPr>
          <w:t>Security Agreement of Sportsman’s Warehouse Holdings, Inc. (incorporated by reference to Exhibit 10.4 to the Company’s Current</w:t>
        </w:r>
      </w:hyperlink>
      <w:r>
        <w:rPr>
          <w:rFonts w:ascii="Times New Roman" w:cs="Times New Roman" w:eastAsia="Times New Roman" w:hAnsi="Times New Roman"/>
          <w:sz w:val="18"/>
          <w:szCs w:val="18"/>
          <w:u w:val="single" w:color="auto"/>
          <w:color w:val="0000FF"/>
        </w:rPr>
        <w:t xml:space="preserve"> </w:t>
      </w:r>
      <w:hyperlink r:id="rId330">
        <w:r>
          <w:rPr>
            <w:rFonts w:ascii="Times New Roman" w:cs="Times New Roman" w:eastAsia="Times New Roman" w:hAnsi="Times New Roman"/>
            <w:sz w:val="18"/>
            <w:szCs w:val="18"/>
            <w:u w:val="single" w:color="auto"/>
            <w:color w:val="0000FF"/>
          </w:rPr>
          <w:t>Report on Form 8-K, filed with the SEC on August 1,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-304165</wp:posOffset>
            </wp:positionV>
            <wp:extent cx="7132320" cy="29083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1">
                      <a:extLst>
                        <a:ext uri="{28A0092B-C50C-407E-A947-70E740481C1C}"/>
                      </a:extLst>
                    </a:blip>
                    <a:srcRect/>
                    <a:stretch>
                      <a:fillRect/>
                    </a:stretch>
                  </pic:blipFill>
                  <pic:spPr bwMode="auto">
                    <a:xfrm>
                      <a:off x="0" y="0"/>
                      <a:ext cx="7132320" cy="290830"/>
                    </a:xfrm>
                    <a:prstGeom prst="rect">
                      <a:avLst/>
                    </a:prstGeom>
                    <a:noFill/>
                  </pic:spPr>
                </pic:pic>
              </a:graphicData>
            </a:graphic>
          </wp:anchor>
        </w:drawing>
      </w:r>
    </w:p>
    <w:p>
      <w:pPr>
        <w:spacing w:after="0" w:line="196" w:lineRule="exact"/>
        <w:rPr>
          <w:sz w:val="20"/>
          <w:szCs w:val="20"/>
          <w:color w:val="auto"/>
        </w:rPr>
      </w:pPr>
    </w:p>
    <w:p>
      <w:pPr>
        <w:ind w:right="100"/>
        <w:spacing w:after="0" w:line="281" w:lineRule="auto"/>
        <w:rPr>
          <w:rFonts w:ascii="Times New Roman" w:cs="Times New Roman" w:eastAsia="Times New Roman" w:hAnsi="Times New Roman"/>
          <w:sz w:val="18"/>
          <w:szCs w:val="18"/>
          <w:u w:val="single" w:color="auto"/>
          <w:color w:val="0000FF"/>
        </w:rPr>
      </w:pPr>
      <w:hyperlink r:id="rId332">
        <w:r>
          <w:rPr>
            <w:rFonts w:ascii="Times New Roman" w:cs="Times New Roman" w:eastAsia="Times New Roman" w:hAnsi="Times New Roman"/>
            <w:sz w:val="18"/>
            <w:szCs w:val="18"/>
            <w:u w:val="single" w:color="auto"/>
            <w:color w:val="0000FF"/>
          </w:rPr>
          <w:t>Third Amended and Restated Security Agreement of Sportsman’s Warehouse Holdings, Inc. (incorporated by reference to Exhibit</w:t>
        </w:r>
      </w:hyperlink>
      <w:r>
        <w:rPr>
          <w:rFonts w:ascii="Times New Roman" w:cs="Times New Roman" w:eastAsia="Times New Roman" w:hAnsi="Times New Roman"/>
          <w:sz w:val="18"/>
          <w:szCs w:val="18"/>
          <w:u w:val="single" w:color="auto"/>
          <w:color w:val="0000FF"/>
        </w:rPr>
        <w:t xml:space="preserve"> </w:t>
      </w:r>
      <w:hyperlink r:id="rId332">
        <w:r>
          <w:rPr>
            <w:rFonts w:ascii="Times New Roman" w:cs="Times New Roman" w:eastAsia="Times New Roman" w:hAnsi="Times New Roman"/>
            <w:sz w:val="18"/>
            <w:szCs w:val="18"/>
            <w:u w:val="single" w:color="auto"/>
            <w:color w:val="0000FF"/>
          </w:rPr>
          <w:t>10.5 to the Company’s Current Report on Form 8-K, filed with the SEC on August 1,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-304165</wp:posOffset>
            </wp:positionV>
            <wp:extent cx="7132320" cy="29083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3">
                      <a:extLst>
                        <a:ext uri="{28A0092B-C50C-407E-A947-70E740481C1C}"/>
                      </a:extLst>
                    </a:blip>
                    <a:srcRect/>
                    <a:stretch>
                      <a:fillRect/>
                    </a:stretch>
                  </pic:blipFill>
                  <pic:spPr bwMode="auto">
                    <a:xfrm>
                      <a:off x="0" y="0"/>
                      <a:ext cx="7132320" cy="290830"/>
                    </a:xfrm>
                    <a:prstGeom prst="rect">
                      <a:avLst/>
                    </a:prstGeom>
                    <a:noFill/>
                  </pic:spPr>
                </pic:pic>
              </a:graphicData>
            </a:graphic>
          </wp:anchor>
        </w:drawing>
      </w:r>
    </w:p>
    <w:p>
      <w:pPr>
        <w:spacing w:after="0" w:line="196" w:lineRule="exact"/>
        <w:rPr>
          <w:sz w:val="20"/>
          <w:szCs w:val="20"/>
          <w:color w:val="auto"/>
        </w:rPr>
      </w:pPr>
    </w:p>
    <w:p>
      <w:pPr>
        <w:ind w:right="160"/>
        <w:spacing w:after="0" w:line="281" w:lineRule="auto"/>
        <w:rPr>
          <w:rFonts w:ascii="Times New Roman" w:cs="Times New Roman" w:eastAsia="Times New Roman" w:hAnsi="Times New Roman"/>
          <w:sz w:val="18"/>
          <w:szCs w:val="18"/>
          <w:u w:val="single" w:color="auto"/>
          <w:color w:val="0000FF"/>
        </w:rPr>
      </w:pPr>
      <w:hyperlink r:id="rId334">
        <w:r>
          <w:rPr>
            <w:rFonts w:ascii="Times New Roman" w:cs="Times New Roman" w:eastAsia="Times New Roman" w:hAnsi="Times New Roman"/>
            <w:sz w:val="18"/>
            <w:szCs w:val="18"/>
            <w:u w:val="single" w:color="auto"/>
            <w:color w:val="0000FF"/>
          </w:rPr>
          <w:t>Amended and Restated 2019 Performance Incentive Plan of Sportsman’s Warehouse Holdings, Inc. (incorporated by reference to</w:t>
        </w:r>
      </w:hyperlink>
      <w:r>
        <w:rPr>
          <w:rFonts w:ascii="Times New Roman" w:cs="Times New Roman" w:eastAsia="Times New Roman" w:hAnsi="Times New Roman"/>
          <w:sz w:val="18"/>
          <w:szCs w:val="18"/>
          <w:u w:val="single" w:color="auto"/>
          <w:color w:val="0000FF"/>
        </w:rPr>
        <w:t xml:space="preserve"> </w:t>
      </w:r>
      <w:hyperlink r:id="rId334">
        <w:r>
          <w:rPr>
            <w:rFonts w:ascii="Times New Roman" w:cs="Times New Roman" w:eastAsia="Times New Roman" w:hAnsi="Times New Roman"/>
            <w:sz w:val="18"/>
            <w:szCs w:val="18"/>
            <w:u w:val="single" w:color="auto"/>
            <w:color w:val="0000FF"/>
          </w:rPr>
          <w:t>Exhibit 99.1 to the Company’s Current Report on Form 8-K, filed with the SEC on May 31,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-304165</wp:posOffset>
            </wp:positionV>
            <wp:extent cx="7132320" cy="29083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5">
                      <a:extLst>
                        <a:ext uri="{28A0092B-C50C-407E-A947-70E740481C1C}"/>
                      </a:extLst>
                    </a:blip>
                    <a:srcRect/>
                    <a:stretch>
                      <a:fillRect/>
                    </a:stretch>
                  </pic:blipFill>
                  <pic:spPr bwMode="auto">
                    <a:xfrm>
                      <a:off x="0" y="0"/>
                      <a:ext cx="7132320" cy="290830"/>
                    </a:xfrm>
                    <a:prstGeom prst="rect">
                      <a:avLst/>
                    </a:prstGeom>
                    <a:noFill/>
                  </pic:spPr>
                </pic:pic>
              </a:graphicData>
            </a:graphic>
          </wp:anchor>
        </w:drawing>
      </w:r>
    </w:p>
    <w:p>
      <w:pPr>
        <w:spacing w:after="0" w:line="196" w:lineRule="exact"/>
        <w:rPr>
          <w:sz w:val="20"/>
          <w:szCs w:val="20"/>
          <w:color w:val="auto"/>
        </w:rPr>
      </w:pPr>
    </w:p>
    <w:p>
      <w:pPr>
        <w:ind w:right="320"/>
        <w:spacing w:after="0" w:line="281" w:lineRule="auto"/>
        <w:rPr>
          <w:rFonts w:ascii="Times New Roman" w:cs="Times New Roman" w:eastAsia="Times New Roman" w:hAnsi="Times New Roman"/>
          <w:sz w:val="18"/>
          <w:szCs w:val="18"/>
          <w:u w:val="single" w:color="auto"/>
          <w:color w:val="0000FF"/>
        </w:rPr>
      </w:pPr>
      <w:hyperlink r:id="rId334">
        <w:r>
          <w:rPr>
            <w:rFonts w:ascii="Times New Roman" w:cs="Times New Roman" w:eastAsia="Times New Roman" w:hAnsi="Times New Roman"/>
            <w:sz w:val="18"/>
            <w:szCs w:val="18"/>
            <w:u w:val="single" w:color="auto"/>
            <w:color w:val="0000FF"/>
          </w:rPr>
          <w:t>Amended and Restated Employee Stock Purchase Plan of Sportsman’s Warehouse Holdings, Inc. (incorporated by reference to</w:t>
        </w:r>
      </w:hyperlink>
      <w:r>
        <w:rPr>
          <w:rFonts w:ascii="Times New Roman" w:cs="Times New Roman" w:eastAsia="Times New Roman" w:hAnsi="Times New Roman"/>
          <w:sz w:val="18"/>
          <w:szCs w:val="18"/>
          <w:u w:val="single" w:color="auto"/>
          <w:color w:val="0000FF"/>
        </w:rPr>
        <w:t xml:space="preserve"> </w:t>
      </w:r>
      <w:hyperlink r:id="rId334">
        <w:r>
          <w:rPr>
            <w:rFonts w:ascii="Times New Roman" w:cs="Times New Roman" w:eastAsia="Times New Roman" w:hAnsi="Times New Roman"/>
            <w:sz w:val="18"/>
            <w:szCs w:val="18"/>
            <w:u w:val="single" w:color="auto"/>
            <w:color w:val="0000FF"/>
          </w:rPr>
          <w:t>Exhibit 99.2 to the Company’s Current Report on Form 8-K, filed with the SEC on May 31,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-304165</wp:posOffset>
            </wp:positionV>
            <wp:extent cx="7132320" cy="29083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6">
                      <a:extLst>
                        <a:ext uri="{28A0092B-C50C-407E-A947-70E740481C1C}"/>
                      </a:extLst>
                    </a:blip>
                    <a:srcRect/>
                    <a:stretch>
                      <a:fillRect/>
                    </a:stretch>
                  </pic:blipFill>
                  <pic:spPr bwMode="auto">
                    <a:xfrm>
                      <a:off x="0" y="0"/>
                      <a:ext cx="7132320" cy="29083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Principal Executive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-127635</wp:posOffset>
            </wp:positionV>
            <wp:extent cx="7132320" cy="15430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Principal Financial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-127635</wp:posOffset>
            </wp:positionV>
            <wp:extent cx="7132320" cy="15430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8"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u w:val="single" w:color="auto"/>
          <w:color w:val="0000FF"/>
        </w:rPr>
        <w:t>Certification of Principal Executive Officer and Principal Financial Officer pursuant to 18 U.S.C. 1350, as adopted by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-304165</wp:posOffset>
            </wp:positionV>
            <wp:extent cx="7132320" cy="29083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9">
                      <a:extLst>
                        <a:ext uri="{28A0092B-C50C-407E-A947-70E740481C1C}"/>
                      </a:extLst>
                    </a:blip>
                    <a:srcRect/>
                    <a:stretch>
                      <a:fillRect/>
                    </a:stretch>
                  </pic:blipFill>
                  <pic:spPr bwMode="auto">
                    <a:xfrm>
                      <a:off x="0" y="0"/>
                      <a:ext cx="7132320" cy="290830"/>
                    </a:xfrm>
                    <a:prstGeom prst="rect">
                      <a:avLst/>
                    </a:prstGeom>
                    <a:noFill/>
                  </pic:spPr>
                </pic:pic>
              </a:graphicData>
            </a:graphic>
          </wp:anchor>
        </w:drawing>
      </w:r>
    </w:p>
    <w:p>
      <w:pPr>
        <w:spacing w:after="0" w:line="196"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-304165</wp:posOffset>
            </wp:positionV>
            <wp:extent cx="7132320" cy="29083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0">
                      <a:extLst>
                        <a:ext uri="{28A0092B-C50C-407E-A947-70E740481C1C}"/>
                      </a:extLst>
                    </a:blip>
                    <a:srcRect/>
                    <a:stretch>
                      <a:fillRect/>
                    </a:stretch>
                  </pic:blipFill>
                  <pic:spPr bwMode="auto">
                    <a:xfrm>
                      <a:off x="0" y="0"/>
                      <a:ext cx="7132320" cy="29083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-127635</wp:posOffset>
            </wp:positionV>
            <wp:extent cx="7132320" cy="15430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-127635</wp:posOffset>
            </wp:positionV>
            <wp:extent cx="7132320" cy="15430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-1073785</wp:posOffset>
            </wp:positionH>
            <wp:positionV relativeFrom="paragraph">
              <wp:posOffset>162560</wp:posOffset>
            </wp:positionV>
            <wp:extent cx="713232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120" w:space="580"/>
            <w:col w:w="9440"/>
          </w:cols>
          <w:pgMar w:left="320" w:top="768"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68" w:right="4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5">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40" w:hanging="319"/>
        <w:spacing w:after="0"/>
        <w:tabs>
          <w:tab w:leader="none" w:pos="3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Filed herewith.</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8"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SPORTSMAN’S WAREHOUSE HOLDINGS, INC.</w:t>
      </w:r>
    </w:p>
    <w:p>
      <w:pPr>
        <w:spacing w:after="0" w:line="255" w:lineRule="exact"/>
        <w:rPr>
          <w:sz w:val="20"/>
          <w:szCs w:val="20"/>
          <w:color w:val="auto"/>
        </w:rPr>
      </w:pPr>
    </w:p>
    <w:p>
      <w:pPr>
        <w:ind w:left="20"/>
        <w:spacing w:after="0"/>
        <w:tabs>
          <w:tab w:leader="none" w:pos="5640" w:val="left"/>
          <w:tab w:leader="none" w:pos="8180" w:val="left"/>
        </w:tabs>
        <w:rPr>
          <w:sz w:val="20"/>
          <w:szCs w:val="20"/>
          <w:color w:val="auto"/>
        </w:rPr>
      </w:pPr>
      <w:r>
        <w:rPr>
          <w:rFonts w:ascii="Times New Roman" w:cs="Times New Roman" w:eastAsia="Times New Roman" w:hAnsi="Times New Roman"/>
          <w:sz w:val="18"/>
          <w:szCs w:val="18"/>
          <w:color w:val="auto"/>
        </w:rPr>
        <w:t>Date: September 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/s/Paul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3866515</wp:posOffset>
            </wp:positionH>
            <wp:positionV relativeFrom="paragraph">
              <wp:posOffset>26035</wp:posOffset>
            </wp:positionV>
            <wp:extent cx="327088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8">
                      <a:extLst>
                        <a:ext uri="{28A0092B-C50C-407E-A947-70E740481C1C}"/>
                      </a:extLst>
                    </a:blip>
                    <a:srcRect/>
                    <a:stretch>
                      <a:fillRect/>
                    </a:stretch>
                  </pic:blipFill>
                  <pic:spPr bwMode="auto">
                    <a:xfrm>
                      <a:off x="0" y="0"/>
                      <a:ext cx="3270885" cy="8255"/>
                    </a:xfrm>
                    <a:prstGeom prst="rect">
                      <a:avLst/>
                    </a:prstGeom>
                    <a:noFill/>
                  </pic:spPr>
                </pic:pic>
              </a:graphicData>
            </a:graphic>
          </wp:anchor>
        </w:drawing>
      </w:r>
    </w:p>
    <w:p>
      <w:pPr>
        <w:spacing w:after="0" w:line="21"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b w:val="1"/>
          <w:bCs w:val="1"/>
          <w:color w:val="auto"/>
        </w:rPr>
        <w:t>Paul Stone</w:t>
      </w:r>
    </w:p>
    <w:p>
      <w:pPr>
        <w:spacing w:after="0" w:line="22"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2"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47" w:lineRule="exact"/>
        <w:rPr>
          <w:sz w:val="20"/>
          <w:szCs w:val="20"/>
          <w:color w:val="auto"/>
        </w:rPr>
      </w:pPr>
    </w:p>
    <w:p>
      <w:pPr>
        <w:ind w:left="20"/>
        <w:spacing w:after="0"/>
        <w:tabs>
          <w:tab w:leader="none" w:pos="5640" w:val="left"/>
          <w:tab w:leader="none" w:pos="8180" w:val="left"/>
        </w:tabs>
        <w:rPr>
          <w:sz w:val="20"/>
          <w:szCs w:val="20"/>
          <w:color w:val="auto"/>
        </w:rPr>
      </w:pPr>
      <w:r>
        <w:rPr>
          <w:rFonts w:ascii="Times New Roman" w:cs="Times New Roman" w:eastAsia="Times New Roman" w:hAnsi="Times New Roman"/>
          <w:sz w:val="18"/>
          <w:szCs w:val="18"/>
          <w:color w:val="auto"/>
        </w:rPr>
        <w:t>Date: September 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/s/Jeff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3866515</wp:posOffset>
            </wp:positionH>
            <wp:positionV relativeFrom="paragraph">
              <wp:posOffset>26035</wp:posOffset>
            </wp:positionV>
            <wp:extent cx="327088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9">
                      <a:extLst>
                        <a:ext uri="{28A0092B-C50C-407E-A947-70E740481C1C}"/>
                      </a:extLst>
                    </a:blip>
                    <a:srcRect/>
                    <a:stretch>
                      <a:fillRect/>
                    </a:stretch>
                  </pic:blipFill>
                  <pic:spPr bwMode="auto">
                    <a:xfrm>
                      <a:off x="0" y="0"/>
                      <a:ext cx="3270885" cy="8255"/>
                    </a:xfrm>
                    <a:prstGeom prst="rect">
                      <a:avLst/>
                    </a:prstGeom>
                    <a:noFill/>
                  </pic:spPr>
                </pic:pic>
              </a:graphicData>
            </a:graphic>
          </wp:anchor>
        </w:drawing>
      </w:r>
    </w:p>
    <w:p>
      <w:pPr>
        <w:spacing w:after="0" w:line="21"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b w:val="1"/>
          <w:bCs w:val="1"/>
          <w:color w:val="auto"/>
        </w:rPr>
        <w:t>Jeff White</w:t>
      </w:r>
    </w:p>
    <w:p>
      <w:pPr>
        <w:spacing w:after="0" w:line="22"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2"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3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Stone, certify that:</w:t>
      </w:r>
    </w:p>
    <w:p>
      <w:pPr>
        <w:spacing w:after="0" w:line="117"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Sportsman’s Warehouse Holdings, Inc.;</w:t>
      </w:r>
    </w:p>
    <w:p>
      <w:pPr>
        <w:spacing w:after="0" w:line="116" w:lineRule="exact"/>
        <w:rPr>
          <w:rFonts w:ascii="Times New Roman" w:cs="Times New Roman" w:eastAsia="Times New Roman" w:hAnsi="Times New Roman"/>
          <w:sz w:val="18"/>
          <w:szCs w:val="18"/>
          <w:color w:val="auto"/>
        </w:rPr>
      </w:pPr>
    </w:p>
    <w:p>
      <w:pPr>
        <w:jc w:val="both"/>
        <w:ind w:left="1020" w:right="20" w:hanging="503"/>
        <w:spacing w:after="0" w:line="265"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8"/>
          <w:szCs w:val="18"/>
          <w:color w:val="auto"/>
        </w:rPr>
      </w:pPr>
    </w:p>
    <w:p>
      <w:pPr>
        <w:ind w:left="1020" w:right="520" w:hanging="503"/>
        <w:spacing w:after="0" w:line="312" w:lineRule="auto"/>
        <w:tabs>
          <w:tab w:leader="none" w:pos="10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140" w:hanging="503"/>
        <w:spacing w:after="0" w:line="265"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1540" w:right="120" w:hanging="514"/>
        <w:spacing w:after="0" w:line="265" w:lineRule="auto"/>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1540" w:right="180" w:hanging="514"/>
        <w:spacing w:after="0" w:line="265" w:lineRule="auto"/>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ind w:left="1540" w:right="20" w:hanging="514"/>
        <w:spacing w:after="0" w:line="265" w:lineRule="auto"/>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Times New Roman" w:cs="Times New Roman" w:eastAsia="Times New Roman" w:hAnsi="Times New Roman"/>
          <w:sz w:val="18"/>
          <w:szCs w:val="18"/>
          <w:color w:val="auto"/>
        </w:rPr>
      </w:pPr>
    </w:p>
    <w:p>
      <w:pPr>
        <w:ind w:left="1540" w:right="380" w:hanging="514"/>
        <w:spacing w:after="0" w:line="265" w:lineRule="auto"/>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left="1020" w:right="100" w:hanging="503"/>
        <w:spacing w:after="0" w:line="312" w:lineRule="auto"/>
        <w:tabs>
          <w:tab w:leader="none" w:pos="10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40" w:right="240" w:hanging="514"/>
        <w:spacing w:after="0" w:line="281" w:lineRule="auto"/>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540" w:right="520" w:hanging="514"/>
        <w:spacing w:after="0" w:line="281" w:lineRule="auto"/>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4, 2024</w:t>
      </w:r>
    </w:p>
    <w:p>
      <w:pPr>
        <w:spacing w:after="0" w:line="278" w:lineRule="exact"/>
        <w:rPr>
          <w:sz w:val="20"/>
          <w:szCs w:val="20"/>
          <w:color w:val="auto"/>
        </w:rPr>
      </w:pPr>
    </w:p>
    <w:p>
      <w:pPr>
        <w:jc w:val="center"/>
        <w:ind w:right="5240"/>
        <w:spacing w:after="0"/>
        <w:rPr>
          <w:sz w:val="20"/>
          <w:szCs w:val="20"/>
          <w:color w:val="auto"/>
        </w:rPr>
      </w:pPr>
      <w:r>
        <w:rPr>
          <w:rFonts w:ascii="Times New Roman" w:cs="Times New Roman" w:eastAsia="Times New Roman" w:hAnsi="Times New Roman"/>
          <w:sz w:val="18"/>
          <w:szCs w:val="18"/>
          <w:color w:val="auto"/>
        </w:rPr>
        <w:t>/s/ Paul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80174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1">
                      <a:extLst>
                        <a:ext uri="{28A0092B-C50C-407E-A947-70E740481C1C}"/>
                      </a:extLst>
                    </a:blip>
                    <a:srcRect/>
                    <a:stretch>
                      <a:fillRect/>
                    </a:stretch>
                  </pic:blipFill>
                  <pic:spPr bwMode="auto">
                    <a:xfrm>
                      <a:off x="0" y="0"/>
                      <a:ext cx="3801745" cy="8255"/>
                    </a:xfrm>
                    <a:prstGeom prst="rect">
                      <a:avLst/>
                    </a:prstGeom>
                    <a:noFill/>
                  </pic:spPr>
                </pic:pic>
              </a:graphicData>
            </a:graphic>
          </wp:anchor>
        </w:drawing>
      </w:r>
    </w:p>
    <w:p>
      <w:pPr>
        <w:spacing w:after="0" w:line="23" w:lineRule="exact"/>
        <w:rPr>
          <w:sz w:val="20"/>
          <w:szCs w:val="20"/>
          <w:color w:val="auto"/>
        </w:rPr>
      </w:pPr>
    </w:p>
    <w:p>
      <w:pPr>
        <w:jc w:val="center"/>
        <w:ind w:right="5240"/>
        <w:spacing w:after="0"/>
        <w:rPr>
          <w:sz w:val="20"/>
          <w:szCs w:val="20"/>
          <w:color w:val="auto"/>
        </w:rPr>
      </w:pPr>
      <w:r>
        <w:rPr>
          <w:rFonts w:ascii="Times New Roman" w:cs="Times New Roman" w:eastAsia="Times New Roman" w:hAnsi="Times New Roman"/>
          <w:sz w:val="14"/>
          <w:szCs w:val="14"/>
          <w:b w:val="1"/>
          <w:bCs w:val="1"/>
          <w:color w:val="auto"/>
        </w:rPr>
        <w:t>Paul Stone</w:t>
      </w:r>
    </w:p>
    <w:p>
      <w:pPr>
        <w:spacing w:after="0" w:line="27" w:lineRule="exact"/>
        <w:rPr>
          <w:sz w:val="20"/>
          <w:szCs w:val="20"/>
          <w:color w:val="auto"/>
        </w:rPr>
      </w:pPr>
    </w:p>
    <w:p>
      <w:pPr>
        <w:jc w:val="center"/>
        <w:ind w:right="5240"/>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spacing w:after="0" w:line="14" w:lineRule="exact"/>
        <w:rPr>
          <w:sz w:val="20"/>
          <w:szCs w:val="20"/>
          <w:color w:val="auto"/>
        </w:rPr>
      </w:pPr>
    </w:p>
    <w:p>
      <w:pPr>
        <w:jc w:val="center"/>
        <w:ind w:right="524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929005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0" w:right="339" w:bottom="1440" w:gutter="0" w:footer="0" w:header="0"/>
        </w:sectPr>
      </w:pPr>
    </w:p>
    <w:bookmarkStart w:id="41" w:name="page42"/>
    <w:bookmarkEnd w:id="41"/>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 White, certify that:</w:t>
      </w:r>
    </w:p>
    <w:p>
      <w:pPr>
        <w:spacing w:after="0" w:line="117"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Sportsman’s Warehouse Holdings, Inc.;</w:t>
      </w:r>
    </w:p>
    <w:p>
      <w:pPr>
        <w:spacing w:after="0" w:line="116" w:lineRule="exact"/>
        <w:rPr>
          <w:rFonts w:ascii="Times New Roman" w:cs="Times New Roman" w:eastAsia="Times New Roman" w:hAnsi="Times New Roman"/>
          <w:sz w:val="18"/>
          <w:szCs w:val="18"/>
          <w:color w:val="auto"/>
        </w:rPr>
      </w:pPr>
    </w:p>
    <w:p>
      <w:pPr>
        <w:jc w:val="both"/>
        <w:ind w:left="1020" w:hanging="503"/>
        <w:spacing w:after="0" w:line="265"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120" w:hanging="503"/>
        <w:spacing w:after="0" w:line="265"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1540" w:right="100" w:hanging="514"/>
        <w:spacing w:after="0" w:line="265" w:lineRule="auto"/>
        <w:tabs>
          <w:tab w:leader="none" w:pos="15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1540" w:right="160" w:hanging="514"/>
        <w:spacing w:after="0" w:line="265" w:lineRule="auto"/>
        <w:tabs>
          <w:tab w:leader="none" w:pos="15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ind w:left="1540" w:hanging="514"/>
        <w:spacing w:after="0" w:line="265" w:lineRule="auto"/>
        <w:tabs>
          <w:tab w:leader="none" w:pos="15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Times New Roman" w:cs="Times New Roman" w:eastAsia="Times New Roman" w:hAnsi="Times New Roman"/>
          <w:sz w:val="18"/>
          <w:szCs w:val="18"/>
          <w:color w:val="auto"/>
        </w:rPr>
      </w:pPr>
    </w:p>
    <w:p>
      <w:pPr>
        <w:ind w:left="1540" w:right="360" w:hanging="514"/>
        <w:spacing w:after="0" w:line="265" w:lineRule="auto"/>
        <w:tabs>
          <w:tab w:leader="none" w:pos="15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left="1020" w:right="80" w:hanging="503"/>
        <w:spacing w:after="0" w:line="312" w:lineRule="auto"/>
        <w:tabs>
          <w:tab w:leader="none" w:pos="10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40" w:right="220" w:hanging="514"/>
        <w:spacing w:after="0" w:line="281" w:lineRule="auto"/>
        <w:tabs>
          <w:tab w:leader="none" w:pos="15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540" w:right="500" w:hanging="514"/>
        <w:spacing w:after="0" w:line="281" w:lineRule="auto"/>
        <w:tabs>
          <w:tab w:leader="none" w:pos="15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4, 2024</w:t>
      </w:r>
    </w:p>
    <w:p>
      <w:pPr>
        <w:spacing w:after="0" w:line="278" w:lineRule="exact"/>
        <w:rPr>
          <w:sz w:val="20"/>
          <w:szCs w:val="20"/>
          <w:color w:val="auto"/>
        </w:rPr>
      </w:pPr>
    </w:p>
    <w:p>
      <w:pPr>
        <w:jc w:val="center"/>
        <w:ind w:right="5260"/>
        <w:spacing w:after="0"/>
        <w:rPr>
          <w:sz w:val="20"/>
          <w:szCs w:val="20"/>
          <w:color w:val="auto"/>
        </w:rPr>
      </w:pPr>
      <w:r>
        <w:rPr>
          <w:rFonts w:ascii="Times New Roman" w:cs="Times New Roman" w:eastAsia="Times New Roman" w:hAnsi="Times New Roman"/>
          <w:sz w:val="18"/>
          <w:szCs w:val="18"/>
          <w:color w:val="auto"/>
        </w:rPr>
        <w:t>/s/ Jeff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78460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3">
                      <a:extLst>
                        <a:ext uri="{28A0092B-C50C-407E-A947-70E740481C1C}"/>
                      </a:extLst>
                    </a:blip>
                    <a:srcRect/>
                    <a:stretch>
                      <a:fillRect/>
                    </a:stretch>
                  </pic:blipFill>
                  <pic:spPr bwMode="auto">
                    <a:xfrm>
                      <a:off x="0" y="0"/>
                      <a:ext cx="3784600" cy="8255"/>
                    </a:xfrm>
                    <a:prstGeom prst="rect">
                      <a:avLst/>
                    </a:prstGeom>
                    <a:noFill/>
                  </pic:spPr>
                </pic:pic>
              </a:graphicData>
            </a:graphic>
          </wp:anchor>
        </w:drawing>
      </w:r>
    </w:p>
    <w:p>
      <w:pPr>
        <w:spacing w:after="0" w:line="23" w:lineRule="exact"/>
        <w:rPr>
          <w:sz w:val="20"/>
          <w:szCs w:val="20"/>
          <w:color w:val="auto"/>
        </w:rPr>
      </w:pPr>
    </w:p>
    <w:p>
      <w:pPr>
        <w:jc w:val="center"/>
        <w:ind w:right="5260"/>
        <w:spacing w:after="0"/>
        <w:rPr>
          <w:sz w:val="20"/>
          <w:szCs w:val="20"/>
          <w:color w:val="auto"/>
        </w:rPr>
      </w:pPr>
      <w:r>
        <w:rPr>
          <w:rFonts w:ascii="Times New Roman" w:cs="Times New Roman" w:eastAsia="Times New Roman" w:hAnsi="Times New Roman"/>
          <w:sz w:val="14"/>
          <w:szCs w:val="14"/>
          <w:b w:val="1"/>
          <w:bCs w:val="1"/>
          <w:color w:val="auto"/>
        </w:rPr>
        <w:t>Jeff White</w:t>
      </w:r>
    </w:p>
    <w:p>
      <w:pPr>
        <w:spacing w:after="0" w:line="27" w:lineRule="exact"/>
        <w:rPr>
          <w:sz w:val="20"/>
          <w:szCs w:val="20"/>
          <w:color w:val="auto"/>
        </w:rPr>
      </w:pPr>
    </w:p>
    <w:p>
      <w:pPr>
        <w:jc w:val="center"/>
        <w:ind w:right="5260"/>
        <w:spacing w:after="0"/>
        <w:rPr>
          <w:sz w:val="20"/>
          <w:szCs w:val="20"/>
          <w:color w:val="auto"/>
        </w:rPr>
      </w:pPr>
      <w:r>
        <w:rPr>
          <w:rFonts w:ascii="Times New Roman" w:cs="Times New Roman" w:eastAsia="Times New Roman" w:hAnsi="Times New Roman"/>
          <w:sz w:val="14"/>
          <w:szCs w:val="14"/>
          <w:i w:val="1"/>
          <w:iCs w:val="1"/>
          <w:color w:val="auto"/>
        </w:rPr>
        <w:t>Chief Financial Officer and Secretary</w:t>
      </w:r>
    </w:p>
    <w:p>
      <w:pPr>
        <w:spacing w:after="0" w:line="14" w:lineRule="exact"/>
        <w:rPr>
          <w:sz w:val="20"/>
          <w:szCs w:val="20"/>
          <w:color w:val="auto"/>
        </w:rPr>
      </w:pPr>
    </w:p>
    <w:p>
      <w:pPr>
        <w:jc w:val="center"/>
        <w:ind w:right="5260"/>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929005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0" w:right="359" w:bottom="1440" w:gutter="0" w:footer="0" w:header="0"/>
        </w:sectPr>
      </w:pPr>
    </w:p>
    <w:bookmarkStart w:id="42" w:name="page43"/>
    <w:bookmarkEnd w:id="42"/>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AS ADOPTED</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PURSUANT TO SECTION 906 OF THE</w:t>
      </w:r>
    </w:p>
    <w:p>
      <w:pPr>
        <w:spacing w:after="0" w:line="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6"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In connection with the Quarterly Report on Form 10-Q of Sportsman’s Warehouse Holdings, Inc. (the “Registrant”) for the fiscal quarter ended August 3, 2024, as filed with the Securities and Exchange Commission on the date hereof (the “Report”), Paul Stone, President and Chief Executive Officer of the Registrant, and Jeff White, Chief Financial Officer and Secretary of the Registrant, hereby certify, pursuant to 18 U.S.C. Section 1350, as adopted pursuant to Section 906 of the Sarbanes-Oxley Act of 2002, that, to the best of their knowledge:</w:t>
      </w:r>
    </w:p>
    <w:p>
      <w:pPr>
        <w:spacing w:after="0" w:line="74"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6" w:lineRule="exact"/>
        <w:rPr>
          <w:rFonts w:ascii="Times New Roman" w:cs="Times New Roman" w:eastAsia="Times New Roman" w:hAnsi="Times New Roman"/>
          <w:sz w:val="18"/>
          <w:szCs w:val="18"/>
          <w:color w:val="auto"/>
        </w:rPr>
      </w:pPr>
    </w:p>
    <w:p>
      <w:pPr>
        <w:ind w:left="1020" w:right="540" w:hanging="503"/>
        <w:spacing w:after="0" w:line="28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4, 2024</w:t>
      </w:r>
    </w:p>
    <w:p>
      <w:pPr>
        <w:spacing w:after="0" w:line="251" w:lineRule="exact"/>
        <w:rPr>
          <w:sz w:val="20"/>
          <w:szCs w:val="20"/>
          <w:color w:val="auto"/>
        </w:rPr>
      </w:pPr>
    </w:p>
    <w:p>
      <w:pPr>
        <w:jc w:val="center"/>
        <w:ind w:right="5260"/>
        <w:spacing w:after="0"/>
        <w:rPr>
          <w:sz w:val="20"/>
          <w:szCs w:val="20"/>
          <w:color w:val="auto"/>
        </w:rPr>
      </w:pPr>
      <w:r>
        <w:rPr>
          <w:rFonts w:ascii="Times New Roman" w:cs="Times New Roman" w:eastAsia="Times New Roman" w:hAnsi="Times New Roman"/>
          <w:sz w:val="18"/>
          <w:szCs w:val="18"/>
          <w:color w:val="auto"/>
        </w:rPr>
        <w:t>/s/ Paul Stone</w:t>
      </w:r>
    </w:p>
    <w:p>
      <w:pPr>
        <w:spacing w:after="0" w:line="29" w:lineRule="exact"/>
        <w:rPr>
          <w:sz w:val="20"/>
          <w:szCs w:val="20"/>
          <w:color w:val="auto"/>
        </w:rPr>
      </w:pPr>
    </w:p>
    <w:p>
      <w:pPr>
        <w:jc w:val="center"/>
        <w:ind w:right="5260"/>
        <w:spacing w:after="0"/>
        <w:rPr>
          <w:sz w:val="20"/>
          <w:szCs w:val="20"/>
          <w:color w:val="auto"/>
        </w:rPr>
      </w:pPr>
      <w:r>
        <w:rPr>
          <w:rFonts w:ascii="Times New Roman" w:cs="Times New Roman" w:eastAsia="Times New Roman" w:hAnsi="Times New Roman"/>
          <w:sz w:val="14"/>
          <w:szCs w:val="14"/>
          <w:b w:val="1"/>
          <w:bCs w:val="1"/>
          <w:color w:val="auto"/>
        </w:rPr>
        <w:t>Paul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378460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5">
                      <a:extLst>
                        <a:ext uri="{28A0092B-C50C-407E-A947-70E740481C1C}"/>
                      </a:extLst>
                    </a:blip>
                    <a:srcRect/>
                    <a:stretch>
                      <a:fillRect/>
                    </a:stretch>
                  </pic:blipFill>
                  <pic:spPr bwMode="auto">
                    <a:xfrm>
                      <a:off x="0" y="0"/>
                      <a:ext cx="3784600" cy="8255"/>
                    </a:xfrm>
                    <a:prstGeom prst="rect">
                      <a:avLst/>
                    </a:prstGeom>
                    <a:noFill/>
                  </pic:spPr>
                </pic:pic>
              </a:graphicData>
            </a:graphic>
          </wp:anchor>
        </w:drawing>
      </w:r>
    </w:p>
    <w:p>
      <w:pPr>
        <w:jc w:val="center"/>
        <w:ind w:right="5260"/>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spacing w:after="0" w:line="1" w:lineRule="exact"/>
        <w:rPr>
          <w:sz w:val="20"/>
          <w:szCs w:val="20"/>
          <w:color w:val="auto"/>
        </w:rPr>
      </w:pPr>
    </w:p>
    <w:p>
      <w:pPr>
        <w:jc w:val="center"/>
        <w:ind w:right="526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4, 2024</w:t>
      </w:r>
    </w:p>
    <w:p>
      <w:pPr>
        <w:spacing w:after="0" w:line="251" w:lineRule="exact"/>
        <w:rPr>
          <w:sz w:val="20"/>
          <w:szCs w:val="20"/>
          <w:color w:val="auto"/>
        </w:rPr>
      </w:pPr>
    </w:p>
    <w:p>
      <w:pPr>
        <w:jc w:val="center"/>
        <w:ind w:right="5260"/>
        <w:spacing w:after="0"/>
        <w:rPr>
          <w:sz w:val="20"/>
          <w:szCs w:val="20"/>
          <w:color w:val="auto"/>
        </w:rPr>
      </w:pPr>
      <w:r>
        <w:rPr>
          <w:rFonts w:ascii="Times New Roman" w:cs="Times New Roman" w:eastAsia="Times New Roman" w:hAnsi="Times New Roman"/>
          <w:sz w:val="18"/>
          <w:szCs w:val="18"/>
          <w:color w:val="auto"/>
        </w:rPr>
        <w:t>/s/ Jeff White</w:t>
      </w:r>
    </w:p>
    <w:p>
      <w:pPr>
        <w:spacing w:after="0" w:line="29" w:lineRule="exact"/>
        <w:rPr>
          <w:sz w:val="20"/>
          <w:szCs w:val="20"/>
          <w:color w:val="auto"/>
        </w:rPr>
      </w:pPr>
    </w:p>
    <w:p>
      <w:pPr>
        <w:jc w:val="center"/>
        <w:ind w:right="5260"/>
        <w:spacing w:after="0"/>
        <w:rPr>
          <w:sz w:val="20"/>
          <w:szCs w:val="20"/>
          <w:color w:val="auto"/>
        </w:rPr>
      </w:pPr>
      <w:r>
        <w:rPr>
          <w:rFonts w:ascii="Times New Roman" w:cs="Times New Roman" w:eastAsia="Times New Roman" w:hAnsi="Times New Roman"/>
          <w:sz w:val="14"/>
          <w:szCs w:val="14"/>
          <w:b w:val="1"/>
          <w:bCs w:val="1"/>
          <w:color w:val="auto"/>
        </w:rPr>
        <w:t>Jeff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378460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6">
                      <a:extLst>
                        <a:ext uri="{28A0092B-C50C-407E-A947-70E740481C1C}"/>
                      </a:extLst>
                    </a:blip>
                    <a:srcRect/>
                    <a:stretch>
                      <a:fillRect/>
                    </a:stretch>
                  </pic:blipFill>
                  <pic:spPr bwMode="auto">
                    <a:xfrm>
                      <a:off x="0" y="0"/>
                      <a:ext cx="3784600" cy="8255"/>
                    </a:xfrm>
                    <a:prstGeom prst="rect">
                      <a:avLst/>
                    </a:prstGeom>
                    <a:noFill/>
                  </pic:spPr>
                </pic:pic>
              </a:graphicData>
            </a:graphic>
          </wp:anchor>
        </w:drawing>
      </w:r>
    </w:p>
    <w:p>
      <w:pPr>
        <w:jc w:val="center"/>
        <w:ind w:right="5260"/>
        <w:spacing w:after="0"/>
        <w:rPr>
          <w:sz w:val="20"/>
          <w:szCs w:val="20"/>
          <w:color w:val="auto"/>
        </w:rPr>
      </w:pPr>
      <w:r>
        <w:rPr>
          <w:rFonts w:ascii="Times New Roman" w:cs="Times New Roman" w:eastAsia="Times New Roman" w:hAnsi="Times New Roman"/>
          <w:sz w:val="14"/>
          <w:szCs w:val="14"/>
          <w:i w:val="1"/>
          <w:iCs w:val="1"/>
          <w:color w:val="auto"/>
        </w:rPr>
        <w:t>Chief Financial Officer and Secretary</w:t>
      </w:r>
    </w:p>
    <w:p>
      <w:pPr>
        <w:spacing w:after="0" w:line="1" w:lineRule="exact"/>
        <w:rPr>
          <w:sz w:val="20"/>
          <w:szCs w:val="20"/>
          <w:color w:val="auto"/>
        </w:rPr>
      </w:pPr>
    </w:p>
    <w:p>
      <w:pPr>
        <w:jc w:val="center"/>
        <w:ind w:right="5260"/>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p>
      <w:pPr>
        <w:spacing w:after="0" w:line="205" w:lineRule="exact"/>
        <w:rPr>
          <w:sz w:val="20"/>
          <w:szCs w:val="20"/>
          <w:color w:val="auto"/>
        </w:rPr>
      </w:pPr>
    </w:p>
    <w:p>
      <w:pPr>
        <w:jc w:val="both"/>
        <w:ind w:right="220"/>
        <w:spacing w:after="0" w:line="265" w:lineRule="auto"/>
        <w:rPr>
          <w:sz w:val="20"/>
          <w:szCs w:val="20"/>
          <w:color w:val="auto"/>
        </w:rPr>
      </w:pPr>
      <w:r>
        <w:rPr>
          <w:rFonts w:ascii="Times New Roman" w:cs="Times New Roman" w:eastAsia="Times New Roman" w:hAnsi="Times New Roman"/>
          <w:sz w:val="18"/>
          <w:szCs w:val="18"/>
          <w:color w:val="auto"/>
        </w:rPr>
        <w:t>The foregoing certifications are being furnished pursuant to 18 U.S.C. Section 1350. They are not being filed for purposes of Section 18 of the Securities Exchange Act of 1934, as amended, and are not to be incorporated by reference into any filing of the Registrant,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770890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0" w:right="359" w:bottom="1440" w:gutter="0" w:footer="0" w:header="0"/>
        </w:sectPr>
      </w:pPr>
    </w:p>
    <w:bookmarkStart w:id="43" w:name="page44"/>
    <w:bookmarkEnd w:id="4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decimal"/>
      <w:start w:val="11"/>
    </w:lvl>
  </w:abstractNum>
  <w:abstractNum w:abstractNumId="6">
    <w:nsid w:val="1F16E9E8"/>
    <w:multiLevelType w:val="hybridMultilevel"/>
    <w:lvl w:ilvl="0">
      <w:lvlJc w:val="left"/>
      <w:lvlText w:val="(%1)"/>
      <w:numFmt w:val="decimal"/>
      <w:start w:val="12"/>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1" Type="http://schemas.openxmlformats.org/officeDocument/2006/relationships/image" Target="media/image313.png"/><Relationship Id="rId323" Type="http://schemas.openxmlformats.org/officeDocument/2006/relationships/image" Target="media/image314.png"/><Relationship Id="rId325" Type="http://schemas.openxmlformats.org/officeDocument/2006/relationships/image" Target="media/image315.png"/><Relationship Id="rId327" Type="http://schemas.openxmlformats.org/officeDocument/2006/relationships/image" Target="media/image316.png"/><Relationship Id="rId329" Type="http://schemas.openxmlformats.org/officeDocument/2006/relationships/image" Target="media/image317.png"/><Relationship Id="rId331" Type="http://schemas.openxmlformats.org/officeDocument/2006/relationships/image" Target="media/image318.png"/><Relationship Id="rId333" Type="http://schemas.openxmlformats.org/officeDocument/2006/relationships/image" Target="media/image319.png"/><Relationship Id="rId335" Type="http://schemas.openxmlformats.org/officeDocument/2006/relationships/image" Target="media/image320.png"/><Relationship Id="rId336" Type="http://schemas.openxmlformats.org/officeDocument/2006/relationships/image" Target="media/image321.png"/><Relationship Id="rId337" Type="http://schemas.openxmlformats.org/officeDocument/2006/relationships/image" Target="media/image322.png"/><Relationship Id="rId338" Type="http://schemas.openxmlformats.org/officeDocument/2006/relationships/image" Target="media/image323.png"/><Relationship Id="rId339" Type="http://schemas.openxmlformats.org/officeDocument/2006/relationships/image" Target="media/image324.png"/><Relationship Id="rId340" Type="http://schemas.openxmlformats.org/officeDocument/2006/relationships/image" Target="media/image325.png"/><Relationship Id="rId341" Type="http://schemas.openxmlformats.org/officeDocument/2006/relationships/image" Target="media/image326.png"/><Relationship Id="rId342" Type="http://schemas.openxmlformats.org/officeDocument/2006/relationships/image" Target="media/image327.png"/><Relationship Id="rId343" Type="http://schemas.openxmlformats.org/officeDocument/2006/relationships/image" Target="media/image328.png"/><Relationship Id="rId344" Type="http://schemas.openxmlformats.org/officeDocument/2006/relationships/image" Target="media/image329.png"/><Relationship Id="rId345" Type="http://schemas.openxmlformats.org/officeDocument/2006/relationships/image" Target="media/image330.png"/><Relationship Id="rId346" Type="http://schemas.openxmlformats.org/officeDocument/2006/relationships/image" Target="media/image331.png"/><Relationship Id="rId347" Type="http://schemas.openxmlformats.org/officeDocument/2006/relationships/image" Target="media/image332.png"/><Relationship Id="rId348" Type="http://schemas.openxmlformats.org/officeDocument/2006/relationships/image" Target="media/image333.png"/><Relationship Id="rId349" Type="http://schemas.openxmlformats.org/officeDocument/2006/relationships/image" Target="media/image334.png"/><Relationship Id="rId350" Type="http://schemas.openxmlformats.org/officeDocument/2006/relationships/image" Target="media/image335.png"/><Relationship Id="rId351" Type="http://schemas.openxmlformats.org/officeDocument/2006/relationships/image" Target="media/image336.png"/><Relationship Id="rId352" Type="http://schemas.openxmlformats.org/officeDocument/2006/relationships/image" Target="media/image337.png"/><Relationship Id="rId353" Type="http://schemas.openxmlformats.org/officeDocument/2006/relationships/image" Target="media/image338.png"/><Relationship Id="rId354" Type="http://schemas.openxmlformats.org/officeDocument/2006/relationships/image" Target="media/image339.png"/><Relationship Id="rId355" Type="http://schemas.openxmlformats.org/officeDocument/2006/relationships/image" Target="media/image340.png"/><Relationship Id="rId356" Type="http://schemas.openxmlformats.org/officeDocument/2006/relationships/image" Target="media/image341.png"/><Relationship Id="rId357" Type="http://schemas.openxmlformats.org/officeDocument/2006/relationships/image" Target="media/image342.png"/><Relationship Id="rId320" Type="http://schemas.openxmlformats.org/officeDocument/2006/relationships/hyperlink" Target="https://www.sec.gov/Archives/edgar/data/1132105/000095017023026914/spwh-ex3_1.htm" TargetMode="External"/><Relationship Id="rId322" Type="http://schemas.openxmlformats.org/officeDocument/2006/relationships/hyperlink" Target="https://www.sec.gov/ix?doc=/Archives/edgar/data/1132105/000095017024041618/spwh-20240203.htm" TargetMode="External"/><Relationship Id="rId324" Type="http://schemas.openxmlformats.org/officeDocument/2006/relationships/hyperlink" Target="https://www.sec.gov/ix?doc=/Archives/edgar/data/1132105/000095017024089307/spwh-20240730.htm" TargetMode="External"/><Relationship Id="rId326" Type="http://schemas.openxmlformats.org/officeDocument/2006/relationships/hyperlink" Target="https://www.sec.gov/Archives/edgar/data/1132105/000095017024089307/spwh-ex10_2.htm" TargetMode="External"/><Relationship Id="rId328" Type="http://schemas.openxmlformats.org/officeDocument/2006/relationships/hyperlink" Target="https://www.sec.gov/Archives/edgar/data/1132105/000095017024089307/spwh-ex10_3.htm" TargetMode="External"/><Relationship Id="rId330" Type="http://schemas.openxmlformats.org/officeDocument/2006/relationships/hyperlink" Target="https://www.sec.gov/Archives/edgar/data/1132105/000095017024089307/spwh-ex10_4.htm" TargetMode="External"/><Relationship Id="rId332" Type="http://schemas.openxmlformats.org/officeDocument/2006/relationships/hyperlink" Target="https://www.sec.gov/Archives/edgar/data/1132105/000095017024089307/spwh-ex10_5.htm" TargetMode="External"/><Relationship Id="rId334" Type="http://schemas.openxmlformats.org/officeDocument/2006/relationships/hyperlink" Target="https://www.sec.gov/ix?doc=/Archives/edgar/data/1132105/000095017024067382/spwh-202405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2024-09-04T07:44:45Z</dcterms:created>
  <dcterms:modified xsi:type="dcterms:W3CDTF">2024-09-04T07:44:45Z</dcterms:modified>
</cp:coreProperties>
</file>