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26" w:lineRule="exact"/>
        <w:rPr>
          <w:sz w:val="24"/>
          <w:szCs w:val="24"/>
          <w:color w:val="auto"/>
        </w:rPr>
      </w:pPr>
    </w:p>
    <w:p>
      <w:pPr>
        <w:ind w:left="4020" w:right="2640" w:hanging="4012"/>
        <w:spacing w:after="0" w:line="328" w:lineRule="auto"/>
        <w:tabs>
          <w:tab w:leader="none" w:pos="33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August 2, 2025</w:t>
      </w: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3940" w:right="2660" w:hanging="3932"/>
        <w:spacing w:after="0" w:line="299" w:lineRule="auto"/>
        <w:tabs>
          <w:tab w:leader="none" w:pos="331"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from_______to_______</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Commission File Number: 001-36401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SPORTSMAN’S WAREHOUSE HOLDINGS, INC.</w:t>
      </w:r>
    </w:p>
    <w:p>
      <w:pPr>
        <w:spacing w:after="0" w:line="2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tbl>
      <w:tblPr>
        <w:tblLayout w:type="fixed"/>
        <w:tblInd w:w="1080" w:type="dxa"/>
        <w:tblCellMar>
          <w:top w:w="0" w:type="dxa"/>
          <w:left w:w="0" w:type="dxa"/>
          <w:bottom w:w="0" w:type="dxa"/>
          <w:right w:w="0" w:type="dxa"/>
        </w:tblCellMar>
      </w:tblPr>
      <w:tr>
        <w:trPr>
          <w:trHeight w:val="203"/>
        </w:trPr>
        <w:tc>
          <w:tcPr>
            <w:tcW w:w="5160" w:type="dxa"/>
            <w:vAlign w:val="bottom"/>
          </w:tcPr>
          <w:p>
            <w:pPr>
              <w:jc w:val="center"/>
              <w:ind w:right="157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9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39-1975614</w:t>
            </w:r>
          </w:p>
        </w:tc>
      </w:tr>
      <w:tr>
        <w:trPr>
          <w:trHeight w:val="203"/>
        </w:trPr>
        <w:tc>
          <w:tcPr>
            <w:tcW w:w="5160" w:type="dxa"/>
            <w:vAlign w:val="bottom"/>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rPr>
              <w:t>(State or other jurisdiction</w:t>
            </w:r>
          </w:p>
        </w:tc>
        <w:tc>
          <w:tcPr>
            <w:tcW w:w="2940" w:type="dxa"/>
            <w:vAlign w:val="bottom"/>
          </w:tcPr>
          <w:p>
            <w:pPr>
              <w:jc w:val="center"/>
              <w:ind w:left="159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5160" w:type="dxa"/>
            <w:vAlign w:val="bottom"/>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rPr>
              <w:t>of incorporation or organization)</w:t>
            </w:r>
          </w:p>
        </w:tc>
        <w:tc>
          <w:tcPr>
            <w:tcW w:w="2940" w:type="dxa"/>
            <w:vAlign w:val="bottom"/>
          </w:tcPr>
          <w:p>
            <w:pPr>
              <w:jc w:val="center"/>
              <w:ind w:left="159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260"/>
        </w:trPr>
        <w:tc>
          <w:tcPr>
            <w:tcW w:w="5160" w:type="dxa"/>
            <w:vAlign w:val="bottom"/>
          </w:tcPr>
          <w:p>
            <w:pPr>
              <w:jc w:val="center"/>
              <w:ind w:right="1579"/>
              <w:spacing w:after="0"/>
              <w:rPr>
                <w:sz w:val="20"/>
                <w:szCs w:val="20"/>
                <w:color w:val="auto"/>
              </w:rPr>
            </w:pPr>
            <w:r>
              <w:rPr>
                <w:rFonts w:ascii="Times New Roman" w:cs="Times New Roman" w:eastAsia="Times New Roman" w:hAnsi="Times New Roman"/>
                <w:sz w:val="16"/>
                <w:szCs w:val="16"/>
                <w:b w:val="1"/>
                <w:bCs w:val="1"/>
                <w:color w:val="auto"/>
              </w:rPr>
              <w:t>1475 West 9000 South, Suite A, West Jordan, Utah</w:t>
            </w:r>
          </w:p>
        </w:tc>
        <w:tc>
          <w:tcPr>
            <w:tcW w:w="2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84088</w:t>
            </w:r>
          </w:p>
        </w:tc>
      </w:tr>
      <w:tr>
        <w:trPr>
          <w:trHeight w:val="212"/>
        </w:trPr>
        <w:tc>
          <w:tcPr>
            <w:tcW w:w="5160" w:type="dxa"/>
            <w:vAlign w:val="bottom"/>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940" w:type="dxa"/>
            <w:vAlign w:val="bottom"/>
          </w:tcPr>
          <w:p>
            <w:pPr>
              <w:jc w:val="center"/>
              <w:ind w:left="1599"/>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19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(801) 566-6681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4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131"/>
        </w:trPr>
        <w:tc>
          <w:tcPr>
            <w:tcW w:w="3760" w:type="dxa"/>
            <w:vAlign w:val="bottom"/>
            <w:tcBorders>
              <w:bottom w:val="single" w:sz="8" w:color="auto"/>
            </w:tcBorders>
          </w:tcPr>
          <w:p>
            <w:pPr>
              <w:spacing w:after="0"/>
              <w:rPr>
                <w:sz w:val="11"/>
                <w:szCs w:val="11"/>
                <w:color w:val="auto"/>
              </w:rPr>
            </w:pPr>
          </w:p>
        </w:tc>
        <w:tc>
          <w:tcPr>
            <w:tcW w:w="3740" w:type="dxa"/>
            <w:vAlign w:val="bottom"/>
            <w:tcBorders>
              <w:bottom w:val="single" w:sz="8" w:color="auto"/>
            </w:tcBorders>
          </w:tcPr>
          <w:p>
            <w:pPr>
              <w:spacing w:after="0"/>
              <w:rPr>
                <w:sz w:val="11"/>
                <w:szCs w:val="11"/>
                <w:color w:val="auto"/>
              </w:rPr>
            </w:pPr>
          </w:p>
        </w:tc>
        <w:tc>
          <w:tcPr>
            <w:tcW w:w="3740" w:type="dxa"/>
            <w:vAlign w:val="bottom"/>
            <w:tcBorders>
              <w:bottom w:val="single" w:sz="8" w:color="auto"/>
            </w:tcBorders>
          </w:tcPr>
          <w:p>
            <w:pPr>
              <w:spacing w:after="0"/>
              <w:rPr>
                <w:sz w:val="11"/>
                <w:szCs w:val="11"/>
                <w:color w:val="auto"/>
              </w:rPr>
            </w:pPr>
          </w:p>
        </w:tc>
      </w:tr>
      <w:tr>
        <w:trPr>
          <w:trHeight w:val="196"/>
        </w:trPr>
        <w:tc>
          <w:tcPr>
            <w:tcW w:w="3760" w:type="dxa"/>
            <w:vAlign w:val="bottom"/>
            <w:tcBorders>
              <w:left w:val="single" w:sz="8" w:color="auto"/>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rPr>
              <w:t>Title of each class</w:t>
            </w:r>
          </w:p>
        </w:tc>
        <w:tc>
          <w:tcPr>
            <w:tcW w:w="374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rPr>
              <w:t>Trading Symbol(s)</w:t>
            </w:r>
          </w:p>
        </w:tc>
        <w:tc>
          <w:tcPr>
            <w:tcW w:w="374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65"/>
        </w:trPr>
        <w:tc>
          <w:tcPr>
            <w:tcW w:w="3760" w:type="dxa"/>
            <w:vAlign w:val="bottom"/>
            <w:tcBorders>
              <w:left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rPr>
              <w:t>Common stock, par value $0.01 per share</w:t>
            </w:r>
          </w:p>
        </w:tc>
        <w:tc>
          <w:tcPr>
            <w:tcW w:w="3740" w:type="dxa"/>
            <w:vAlign w:val="bottom"/>
            <w:tcBorders>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SPWH</w:t>
            </w:r>
          </w:p>
        </w:tc>
        <w:tc>
          <w:tcPr>
            <w:tcW w:w="3740" w:type="dxa"/>
            <w:vAlign w:val="bottom"/>
            <w:tcBorders>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rPr>
              <w:t>The Nasdaq Stock Market LLC</w:t>
            </w:r>
          </w:p>
        </w:tc>
      </w:tr>
      <w:tr>
        <w:trPr>
          <w:trHeight w:val="213"/>
        </w:trPr>
        <w:tc>
          <w:tcPr>
            <w:tcW w:w="3760" w:type="dxa"/>
            <w:vAlign w:val="bottom"/>
            <w:tcBorders>
              <w:left w:val="single" w:sz="8" w:color="auto"/>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89" w:lineRule="exact"/>
        <w:rPr>
          <w:sz w:val="24"/>
          <w:szCs w:val="24"/>
          <w:color w:val="auto"/>
        </w:rPr>
      </w:pPr>
    </w:p>
    <w:p>
      <w:pPr>
        <w:ind w:right="40"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1"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9" w:lineRule="exact"/>
        <w:rPr>
          <w:sz w:val="24"/>
          <w:szCs w:val="24"/>
          <w:color w:val="auto"/>
        </w:rPr>
      </w:pPr>
    </w:p>
    <w:p>
      <w:pPr>
        <w:jc w:val="both"/>
        <w:ind w:right="24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00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00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3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000" w:type="dxa"/>
            <w:vAlign w:val="bottom"/>
          </w:tcPr>
          <w:p>
            <w:pPr>
              <w:spacing w:after="0"/>
              <w:rPr>
                <w:sz w:val="23"/>
                <w:szCs w:val="23"/>
                <w:color w:val="auto"/>
              </w:rPr>
            </w:pPr>
          </w:p>
        </w:tc>
        <w:tc>
          <w:tcPr>
            <w:tcW w:w="620" w:type="dxa"/>
            <w:vAlign w:val="bottom"/>
          </w:tcPr>
          <w:p>
            <w:pPr>
              <w:spacing w:after="0"/>
              <w:rPr>
                <w:sz w:val="23"/>
                <w:szCs w:val="23"/>
                <w:color w:val="auto"/>
              </w:rPr>
            </w:pPr>
          </w:p>
        </w:tc>
      </w:tr>
    </w:tbl>
    <w:p>
      <w:pPr>
        <w:spacing w:after="0" w:line="155" w:lineRule="exact"/>
        <w:rPr>
          <w:sz w:val="24"/>
          <w:szCs w:val="24"/>
          <w:color w:val="auto"/>
        </w:rPr>
      </w:pPr>
    </w:p>
    <w:p>
      <w:pPr>
        <w:ind w:left="520" w:right="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ind w:left="520"/>
        <w:spacing w:after="0" w:line="184" w:lineRule="exact"/>
        <w:tabs>
          <w:tab w:leader="none" w:pos="8020" w:val="left"/>
          <w:tab w:leader="none" w:pos="86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922020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number of shares of the registrant’s common stock, $0.01 par value per share, outstanding as of September 4, 2025 was 38,431,079.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SPORTSMAN’S WAREHOUSE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22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10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220" w:type="dxa"/>
            <w:vAlign w:val="bottom"/>
            <w:gridSpan w:val="24"/>
            <w:vMerge w:val="continue"/>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w w:val="97"/>
              </w:rPr>
              <w:t>Item 1.</w:t>
            </w:r>
          </w:p>
        </w:tc>
        <w:tc>
          <w:tcPr>
            <w:tcW w:w="400" w:type="dxa"/>
            <w:vAlign w:val="bottom"/>
            <w:gridSpan w:val="2"/>
          </w:tcPr>
          <w:p>
            <w:pPr>
              <w:spacing w:after="0"/>
              <w:rPr>
                <w:sz w:val="24"/>
                <w:szCs w:val="24"/>
                <w:color w:val="auto"/>
              </w:rPr>
            </w:pPr>
          </w:p>
        </w:tc>
        <w:tc>
          <w:tcPr>
            <w:tcW w:w="24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860" w:type="dxa"/>
            <w:vAlign w:val="bottom"/>
            <w:gridSpan w:val="11"/>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20" w:type="dxa"/>
            <w:vAlign w:val="bottom"/>
            <w:tcBorders>
              <w:bottom w:val="single" w:sz="8" w:color="0000EE"/>
            </w:tcBorders>
          </w:tcPr>
          <w:p>
            <w:pPr>
              <w:spacing w:after="0"/>
              <w:rPr>
                <w:sz w:val="24"/>
                <w:szCs w:val="24"/>
                <w:color w:val="auto"/>
              </w:rPr>
            </w:pPr>
          </w:p>
        </w:tc>
        <w:tc>
          <w:tcPr>
            <w:tcW w:w="6340" w:type="dxa"/>
            <w:vAlign w:val="bottom"/>
            <w:gridSpan w:val="9"/>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4860" w:type="dxa"/>
            <w:vAlign w:val="bottom"/>
            <w:gridSpan w:val="2"/>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0" w:type="dxa"/>
            <w:vAlign w:val="bottom"/>
            <w:tcBorders>
              <w:bottom w:val="single" w:sz="8" w:color="0000EE"/>
            </w:tcBorders>
          </w:tcPr>
          <w:p>
            <w:pPr>
              <w:spacing w:after="0"/>
              <w:rPr>
                <w:sz w:val="24"/>
                <w:szCs w:val="24"/>
                <w:color w:val="auto"/>
              </w:rPr>
            </w:pPr>
          </w:p>
        </w:tc>
        <w:tc>
          <w:tcPr>
            <w:tcW w:w="5560" w:type="dxa"/>
            <w:vAlign w:val="bottom"/>
            <w:gridSpan w:val="6"/>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300" w:type="dxa"/>
            <w:vAlign w:val="bottom"/>
            <w:gridSpan w:val="5"/>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w w:val="97"/>
              </w:rPr>
              <w:t>Item 2.</w:t>
            </w:r>
          </w:p>
        </w:tc>
        <w:tc>
          <w:tcPr>
            <w:tcW w:w="400" w:type="dxa"/>
            <w:vAlign w:val="bottom"/>
            <w:gridSpan w:val="2"/>
          </w:tcPr>
          <w:p>
            <w:pPr>
              <w:spacing w:after="0"/>
              <w:rPr>
                <w:sz w:val="24"/>
                <w:szCs w:val="24"/>
                <w:color w:val="auto"/>
              </w:rPr>
            </w:pPr>
          </w:p>
        </w:tc>
        <w:tc>
          <w:tcPr>
            <w:tcW w:w="64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w w:val="97"/>
              </w:rPr>
              <w:t>Item 3.</w:t>
            </w:r>
          </w:p>
        </w:tc>
        <w:tc>
          <w:tcPr>
            <w:tcW w:w="400" w:type="dxa"/>
            <w:vAlign w:val="bottom"/>
            <w:gridSpan w:val="2"/>
          </w:tcPr>
          <w:p>
            <w:pPr>
              <w:spacing w:after="0"/>
              <w:rPr>
                <w:sz w:val="24"/>
                <w:szCs w:val="24"/>
                <w:color w:val="auto"/>
              </w:rPr>
            </w:pPr>
          </w:p>
        </w:tc>
        <w:tc>
          <w:tcPr>
            <w:tcW w:w="43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20" w:type="dxa"/>
            <w:vAlign w:val="bottom"/>
            <w:gridSpan w:val="3"/>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w w:val="97"/>
              </w:rPr>
              <w:t>Item 4.</w:t>
            </w:r>
          </w:p>
        </w:tc>
        <w:tc>
          <w:tcPr>
            <w:tcW w:w="400" w:type="dxa"/>
            <w:vAlign w:val="bottom"/>
            <w:gridSpan w:val="2"/>
          </w:tcPr>
          <w:p>
            <w:pPr>
              <w:spacing w:after="0"/>
              <w:rPr>
                <w:sz w:val="24"/>
                <w:szCs w:val="24"/>
                <w:color w:val="auto"/>
              </w:rPr>
            </w:pP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520" w:type="dxa"/>
            <w:vAlign w:val="bottom"/>
            <w:gridSpan w:val="15"/>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412"/>
        </w:trPr>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FF"/>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w w:val="97"/>
              </w:rPr>
              <w:t>Item 1.</w:t>
            </w:r>
          </w:p>
        </w:tc>
        <w:tc>
          <w:tcPr>
            <w:tcW w:w="400" w:type="dxa"/>
            <w:vAlign w:val="bottom"/>
            <w:tcBorders>
              <w:top w:val="single" w:sz="8" w:color="0000FF"/>
            </w:tcBorders>
            <w:gridSpan w:val="2"/>
          </w:tcPr>
          <w:p>
            <w:pPr>
              <w:spacing w:after="0"/>
              <w:rPr>
                <w:sz w:val="24"/>
                <w:szCs w:val="24"/>
                <w:color w:val="auto"/>
              </w:rPr>
            </w:pP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2"/>
          </w:tcPr>
          <w:p>
            <w:pPr>
              <w:spacing w:after="0"/>
              <w:rPr>
                <w:sz w:val="24"/>
                <w:szCs w:val="24"/>
                <w:color w:val="auto"/>
              </w:rPr>
            </w:pPr>
          </w:p>
        </w:tc>
        <w:tc>
          <w:tcPr>
            <w:tcW w:w="7420" w:type="dxa"/>
            <w:vAlign w:val="bottom"/>
            <w:gridSpan w:val="14"/>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412"/>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280" w:type="dxa"/>
            <w:vAlign w:val="bottom"/>
          </w:tcPr>
          <w:p>
            <w:pPr>
              <w:spacing w:after="0"/>
              <w:rPr>
                <w:sz w:val="24"/>
                <w:szCs w:val="24"/>
                <w:color w:val="auto"/>
              </w:rPr>
            </w:pPr>
          </w:p>
        </w:tc>
        <w:tc>
          <w:tcPr>
            <w:tcW w:w="43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4"/>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412"/>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412"/>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3"/>
          </w:tcPr>
          <w:p>
            <w:pPr>
              <w:spacing w:after="0"/>
              <w:rPr>
                <w:sz w:val="24"/>
                <w:szCs w:val="24"/>
                <w:color w:val="auto"/>
              </w:rPr>
            </w:pPr>
          </w:p>
        </w:tc>
        <w:tc>
          <w:tcPr>
            <w:tcW w:w="6980" w:type="dxa"/>
            <w:vAlign w:val="bottom"/>
            <w:gridSpan w:val="12"/>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412"/>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980" w:type="dxa"/>
            <w:vAlign w:val="bottom"/>
            <w:gridSpan w:val="17"/>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6.</w:t>
            </w:r>
          </w:p>
        </w:tc>
        <w:tc>
          <w:tcPr>
            <w:tcW w:w="400" w:type="dxa"/>
            <w:vAlign w:val="bottom"/>
            <w:gridSpan w:val="2"/>
          </w:tcPr>
          <w:p>
            <w:pPr>
              <w:spacing w:after="0"/>
              <w:rPr>
                <w:sz w:val="24"/>
                <w:szCs w:val="24"/>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520" w:type="dxa"/>
            <w:vAlign w:val="bottom"/>
            <w:gridSpan w:val="19"/>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operate on a fiscal calendar that, in a given fiscal year, consists of the 52- or 53-week period ending on the Saturday closest to January 31st. Our second fiscal quarters for fiscal year 2025 and fiscal year 2024 ended on August 2, 2025 and August 3, 2024, respectively. Both quarters consisted of 13 weeks and are referred to herein as the second quarter of fiscal year 2025 and the second quarter of fiscal year 2024, respectively. Fiscal year 2025 contains 52 weeks of operations and will end on January 31, 2026. Fiscal year 2024 contained 52 weeks of operations and ended on February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References throughout this document to “Sportsman’s Warehouse,” “we,” “us,” and “our” refer to Sportsman’s Warehouse Holdings, Inc. and its subsidiaries, and references to “Holdings” refer to Sportsman’s Warehouse Holdings, Inc. excluding its subsidiaries. References to (i) “fiscal year 2025” refer to our fiscal year ending January 31, 2026; and (ii) “fiscal year 2024” refer to our fiscal year ended February 1, 2025.</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SPECIAL NOTE REGARDING FORWARD-LOOKING STATEMENTS</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“10-Q”) contains statements that constitute forward-looking statements as that term is defined by the Private Securities Litigation Reform Act of 1995. These statements concern our business, operations and financial performance and condition as well as our plans, objectives and expectations for our business operations and financial performance and condition, which are subject to risks and uncertainties. All statements other than statements of historical fact included in this 10-Q are forward-looking statements. These statements may include words such as “aim,” “anticipate,” “assume,” “believe,” “can have,” “could,” “due,” “estimate,” “expect,” “goal,” “intend,” “likely,” “may,” “objective,” “plan,” “positioned,” “potential,” “predict,” “should,” “target,” “will,” “would” and other words and terms of similar meaning in connection with any discussion of the timing or nature of future operating or financial performance or other events or trends. For example, all statements we make relating to our plans and objectives for future operations, growth or initiatives and strategies are forward-looking statements.</w:t>
      </w:r>
    </w:p>
    <w:p>
      <w:pPr>
        <w:spacing w:after="0" w:line="7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These forward-looking statements are based on current expectations, estimates, forecasts and projections about our business and the industry in which we operate and our management’s beliefs and assumptions. We derive many of our forward-looking statements from our own operating budgets and forecasts, which are based upon many detailed assumptions. While we believe that our assumptions are reasonable, we caution that predicting the impact of known factors is very difficult, and we cannot anticipate all factors that could affect our actual results.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of our forward-looking statements are subject to risks and uncertainties that may cause our actual results to differ materially from our expectations.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Important factors that could cause actual results to differ materially from our expectations include, but are not limited to:</w:t>
      </w:r>
    </w:p>
    <w:p>
      <w:pPr>
        <w:spacing w:after="0" w:line="97" w:lineRule="exact"/>
        <w:rPr>
          <w:sz w:val="20"/>
          <w:szCs w:val="20"/>
          <w:color w:val="auto"/>
        </w:rPr>
      </w:pPr>
    </w:p>
    <w:p>
      <w:pPr>
        <w:ind w:left="760" w:right="400" w:hanging="378"/>
        <w:spacing w:after="0" w:line="284"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current and future government regulations, in particular regulations relating to the sale of firearms and ammunition, which may impact the supply and demand for our products and our ability to conduct our business;</w:t>
      </w:r>
    </w:p>
    <w:p>
      <w:pPr>
        <w:spacing w:after="0" w:line="50" w:lineRule="exact"/>
        <w:rPr>
          <w:rFonts w:ascii="Times New Roman" w:cs="Times New Roman" w:eastAsia="Times New Roman" w:hAnsi="Times New Roman"/>
          <w:sz w:val="18"/>
          <w:szCs w:val="18"/>
          <w:color w:val="auto"/>
        </w:rPr>
      </w:pPr>
    </w:p>
    <w:p>
      <w:pPr>
        <w:ind w:left="760" w:right="940" w:hanging="378"/>
        <w:spacing w:after="0" w:line="284"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retail-based business model which is impacted by general economic and market conditions, and economic, market and financial uncertainties that may cause a decline in consumer spending;</w:t>
      </w:r>
    </w:p>
    <w:p>
      <w:pPr>
        <w:spacing w:after="0" w:line="50" w:lineRule="exact"/>
        <w:rPr>
          <w:rFonts w:ascii="Times New Roman" w:cs="Times New Roman" w:eastAsia="Times New Roman" w:hAnsi="Times New Roman"/>
          <w:sz w:val="18"/>
          <w:szCs w:val="18"/>
          <w:color w:val="auto"/>
        </w:rPr>
      </w:pPr>
    </w:p>
    <w:p>
      <w:pPr>
        <w:ind w:left="760" w:right="260" w:hanging="378"/>
        <w:spacing w:after="0" w:line="284"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concentration of stores in the Western United States which makes us susceptible to adverse conditions in this region, and could affect our sales and cause our operating results to suffer;</w:t>
      </w:r>
    </w:p>
    <w:p>
      <w:pPr>
        <w:spacing w:after="0" w:line="5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highly fragmented and competitive industry in which we operate and the potential for increased competition;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consumer demands, including regional preferences, which we may not be able to identify and respond to in a timely manner;</w:t>
      </w:r>
    </w:p>
    <w:p>
      <w:pPr>
        <w:spacing w:after="0" w:line="117" w:lineRule="exact"/>
        <w:rPr>
          <w:rFonts w:ascii="Times New Roman" w:cs="Times New Roman" w:eastAsia="Times New Roman" w:hAnsi="Times New Roman"/>
          <w:sz w:val="18"/>
          <w:szCs w:val="18"/>
          <w:color w:val="auto"/>
        </w:rPr>
      </w:pPr>
    </w:p>
    <w:p>
      <w:pPr>
        <w:ind w:left="760" w:right="120" w:hanging="378"/>
        <w:spacing w:after="0" w:line="284"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entrance into new markets or operations in existing markets, including our plans to open additional stores in future periods, which may not be successful;</w:t>
      </w:r>
    </w:p>
    <w:p>
      <w:pPr>
        <w:spacing w:after="0" w:line="50" w:lineRule="exact"/>
        <w:rPr>
          <w:rFonts w:ascii="Times New Roman" w:cs="Times New Roman" w:eastAsia="Times New Roman" w:hAnsi="Times New Roman"/>
          <w:sz w:val="18"/>
          <w:szCs w:val="18"/>
          <w:color w:val="auto"/>
        </w:rPr>
      </w:pPr>
    </w:p>
    <w:p>
      <w:pPr>
        <w:ind w:left="760" w:right="240" w:hanging="378"/>
        <w:spacing w:after="0" w:line="284"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implementation of a plan to reduce expenses in response to adverse macroeconomic conditions, including an increased focus on financial discipline and rigor throughout our organization; and</w:t>
      </w:r>
    </w:p>
    <w:p>
      <w:pPr>
        <w:spacing w:after="0" w:line="50" w:lineRule="exact"/>
        <w:rPr>
          <w:rFonts w:ascii="Times New Roman" w:cs="Times New Roman" w:eastAsia="Times New Roman" w:hAnsi="Times New Roman"/>
          <w:sz w:val="18"/>
          <w:szCs w:val="18"/>
          <w:color w:val="auto"/>
        </w:rPr>
      </w:pPr>
    </w:p>
    <w:p>
      <w:pPr>
        <w:ind w:left="760" w:right="440" w:hanging="378"/>
        <w:spacing w:after="0" w:line="284"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general macroeconomic conditions, such as labor shortages, inflation, elevated interest rates, the impacts of tariffs and trade disputes, economic slowdowns, and recessions or market corrections.</w:t>
      </w:r>
    </w:p>
    <w:p>
      <w:pPr>
        <w:spacing w:after="0" w:line="6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The above is not a complete list of factors or events that could cause actual results to differ from our expectations, and we cannot predict all of them. All written and oral forward-looking statements attributable to us, or persons acting on our behalf, are expressly qualified in their entirety by the cautionary statements disclosed under “Part I., Item 1A., Risk Factors,” appearing in our Annual Report on Form 10-K for the fiscal year ended February 1, 2025 (our “Fiscal 2024 Form 10-K”) and “Part I., Item 2., Management’s Discussion and Analysis of Financial</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Condition and Results of Operations” and elsewhere in this 10-Q, as such disclosures may be amended, supplemented or superseded from time to time by other reports we file with the Securities and Exchange Commission (the “SEC”), including subsequent Annual Reports on Form 10-K and Quarterly Reports on Form 10-Q, and public communications. You should evaluate all forward-looking statements made in this 10-Q and otherwise in the context of these risks and uncertainties.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Potential investors and other readers are urged to consider these factors carefully in evaluating the forward-looking statements and are cautioned not to place undue reliance on any forward-looking statements we make. These forward-looking statements speak only as of the date of this 10-Q and are not guarantees of future performance or developments and involve known and unknown risks, uncertainties and other factors that are in many cases beyond our control. Except as required by law, we undertake no obligation to update or revise any forward-looking statements publicly, whether as a result of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74" w:lineRule="exact"/>
        <w:rPr>
          <w:sz w:val="20"/>
          <w:szCs w:val="20"/>
          <w:color w:val="auto"/>
        </w:rPr>
      </w:pPr>
    </w:p>
    <w:p>
      <w:pPr>
        <w:jc w:val="center"/>
        <w:ind w:right="40"/>
        <w:spacing w:after="0" w:line="265" w:lineRule="auto"/>
        <w:rPr>
          <w:sz w:val="20"/>
          <w:szCs w:val="20"/>
          <w:color w:val="auto"/>
        </w:rPr>
      </w:pPr>
      <w:r>
        <w:rPr>
          <w:rFonts w:ascii="Times New Roman" w:cs="Times New Roman" w:eastAsia="Times New Roman" w:hAnsi="Times New Roman"/>
          <w:sz w:val="18"/>
          <w:szCs w:val="18"/>
          <w:b w:val="1"/>
          <w:bCs w:val="1"/>
          <w:color w:val="auto"/>
        </w:rPr>
        <w:t>SPORTSMAN’S WAREHOUSE HOLDINGS, INC. AND SUBSIDIARIES CONDENSED CONSOLIDATED BALANCE SHEETS Amounts in Thousands, Except Par Value Data (unaudited)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73"/>
        </w:trPr>
        <w:tc>
          <w:tcPr>
            <w:tcW w:w="7100" w:type="dxa"/>
            <w:vAlign w:val="bottom"/>
          </w:tcPr>
          <w:p>
            <w:pPr>
              <w:spacing w:after="0"/>
              <w:rPr>
                <w:sz w:val="15"/>
                <w:szCs w:val="15"/>
                <w:color w:val="auto"/>
              </w:rPr>
            </w:pPr>
          </w:p>
        </w:tc>
        <w:tc>
          <w:tcPr>
            <w:tcW w:w="1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40" w:type="dxa"/>
            <w:vAlign w:val="bottom"/>
            <w:shd w:val="clear" w:color="auto" w:fill="CFF0FC"/>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Merchandise inventories</w:t>
            </w:r>
          </w:p>
        </w:tc>
        <w:tc>
          <w:tcPr>
            <w:tcW w:w="12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443,499</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341,958</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20,339</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18,802</w:t>
            </w:r>
          </w:p>
        </w:tc>
        <w:tc>
          <w:tcPr>
            <w:tcW w:w="100" w:type="dxa"/>
            <w:vAlign w:val="bottom"/>
          </w:tcPr>
          <w:p>
            <w:pPr>
              <w:spacing w:after="0"/>
              <w:rPr>
                <w:sz w:val="18"/>
                <w:szCs w:val="18"/>
                <w:color w:val="auto"/>
              </w:rPr>
            </w:pPr>
          </w:p>
        </w:tc>
      </w:tr>
      <w:tr>
        <w:trPr>
          <w:trHeight w:val="209"/>
        </w:trPr>
        <w:tc>
          <w:tcPr>
            <w:tcW w:w="71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Total current assets</w:t>
            </w:r>
          </w:p>
        </w:tc>
        <w:tc>
          <w:tcPr>
            <w:tcW w:w="12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468,308</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366,002</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317,813</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316,499</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160,997</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167,838</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Pr>
          <w:p>
            <w:pPr>
              <w:spacing w:after="0"/>
              <w:rPr>
                <w:sz w:val="18"/>
                <w:szCs w:val="18"/>
                <w:color w:val="auto"/>
              </w:rPr>
            </w:pPr>
          </w:p>
        </w:tc>
      </w:tr>
      <w:tr>
        <w:trPr>
          <w:trHeight w:val="216"/>
        </w:trPr>
        <w:tc>
          <w:tcPr>
            <w:tcW w:w="7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Definite lived intangibles, net</w:t>
            </w:r>
          </w:p>
        </w:tc>
        <w:tc>
          <w:tcPr>
            <w:tcW w:w="12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assets</w:t>
            </w:r>
          </w:p>
        </w:tc>
        <w:tc>
          <w:tcPr>
            <w:tcW w:w="1240" w:type="dxa"/>
            <w:vAlign w:val="bottom"/>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948,853</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852,102</w:t>
            </w:r>
          </w:p>
        </w:tc>
        <w:tc>
          <w:tcPr>
            <w:tcW w:w="10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240" w:type="dxa"/>
            <w:vAlign w:val="bottom"/>
            <w:shd w:val="clear" w:color="auto" w:fill="CFF0FC"/>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90,122</w:t>
            </w: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64,041</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95,946</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taxes payable</w:t>
            </w:r>
          </w:p>
        </w:tc>
        <w:tc>
          <w:tcPr>
            <w:tcW w:w="12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52,263</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49,128</w:t>
            </w:r>
          </w:p>
        </w:tc>
        <w:tc>
          <w:tcPr>
            <w:tcW w:w="100" w:type="dxa"/>
            <w:vAlign w:val="bottom"/>
          </w:tcPr>
          <w:p>
            <w:pPr>
              <w:spacing w:after="0"/>
              <w:rPr>
                <w:sz w:val="18"/>
                <w:szCs w:val="18"/>
                <w:color w:val="auto"/>
              </w:rPr>
            </w:pPr>
          </w:p>
        </w:tc>
      </w:tr>
      <w:tr>
        <w:trPr>
          <w:trHeight w:val="216"/>
        </w:trPr>
        <w:tc>
          <w:tcPr>
            <w:tcW w:w="71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Revolving line of credit</w:t>
            </w:r>
          </w:p>
        </w:tc>
        <w:tc>
          <w:tcPr>
            <w:tcW w:w="12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151,215</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392,831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283,963</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Term loan, net</w:t>
            </w:r>
          </w:p>
        </w:tc>
        <w:tc>
          <w:tcPr>
            <w:tcW w:w="12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43,851</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24,067</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303,284</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307,422</w:t>
            </w:r>
          </w:p>
        </w:tc>
        <w:tc>
          <w:tcPr>
            <w:tcW w:w="100" w:type="dxa"/>
            <w:vAlign w:val="bottom"/>
          </w:tcPr>
          <w:p>
            <w:pPr>
              <w:spacing w:after="0"/>
              <w:rPr>
                <w:sz w:val="18"/>
                <w:szCs w:val="18"/>
                <w:color w:val="auto"/>
              </w:rPr>
            </w:pPr>
          </w:p>
        </w:tc>
      </w:tr>
      <w:tr>
        <w:trPr>
          <w:trHeight w:val="210"/>
        </w:trPr>
        <w:tc>
          <w:tcPr>
            <w:tcW w:w="710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2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347,135</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332,435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liabilities</w:t>
            </w:r>
          </w:p>
        </w:tc>
        <w:tc>
          <w:tcPr>
            <w:tcW w:w="1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739,966</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616,398</w:t>
            </w:r>
          </w:p>
        </w:tc>
        <w:tc>
          <w:tcPr>
            <w:tcW w:w="100" w:type="dxa"/>
            <w:vAlign w:val="bottom"/>
          </w:tcPr>
          <w:p>
            <w:pPr>
              <w:spacing w:after="0"/>
              <w:rPr>
                <w:sz w:val="18"/>
                <w:szCs w:val="18"/>
                <w:color w:val="auto"/>
              </w:rPr>
            </w:pPr>
          </w:p>
        </w:tc>
      </w:tr>
      <w:tr>
        <w:trPr>
          <w:trHeight w:val="210"/>
        </w:trPr>
        <w:tc>
          <w:tcPr>
            <w:tcW w:w="7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Preferred stock, $.01 par value; 20,000 shares authorized; 0 shares issued and outstanding</w:t>
            </w:r>
          </w:p>
        </w:tc>
        <w:tc>
          <w:tcPr>
            <w:tcW w:w="12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10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Common stock, $.01 par value; 100,000 shares authorized; 38,413 and 38,103 shares issued</w:t>
            </w: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 outstanding, respectively</w:t>
            </w:r>
          </w:p>
        </w:tc>
        <w:tc>
          <w:tcPr>
            <w:tcW w:w="1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0"/>
                <w:szCs w:val="20"/>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87,516</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86,000</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earnings</w:t>
            </w:r>
          </w:p>
        </w:tc>
        <w:tc>
          <w:tcPr>
            <w:tcW w:w="1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120,987</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149,324</w:t>
            </w:r>
          </w:p>
        </w:tc>
        <w:tc>
          <w:tcPr>
            <w:tcW w:w="100" w:type="dxa"/>
            <w:vAlign w:val="bottom"/>
          </w:tcPr>
          <w:p>
            <w:pPr>
              <w:spacing w:after="0"/>
              <w:rPr>
                <w:sz w:val="18"/>
                <w:szCs w:val="18"/>
                <w:color w:val="auto"/>
              </w:rPr>
            </w:pPr>
          </w:p>
        </w:tc>
      </w:tr>
      <w:tr>
        <w:trPr>
          <w:trHeight w:val="210"/>
        </w:trPr>
        <w:tc>
          <w:tcPr>
            <w:tcW w:w="710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208,887</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40" w:type="dxa"/>
            <w:vAlign w:val="bottom"/>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948,853</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852,102</w:t>
            </w:r>
          </w:p>
        </w:tc>
        <w:tc>
          <w:tcPr>
            <w:tcW w:w="10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-3676650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-2407920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-1567815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-170815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SPORTSMAN’S WAREHOUSE HOLDINGS, INC. AND SUBSIDIARIES CONDENSED CONSOLIDATED STATEMENTS OF OPERATIONS Amounts in Thousands, Except Per Share Data (unaudited)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00" w:type="dxa"/>
            <w:vAlign w:val="bottom"/>
            <w:gridSpan w:val="5"/>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60" w:type="dxa"/>
            <w:vAlign w:val="bottom"/>
            <w:gridSpan w:val="5"/>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17"/>
        </w:trPr>
        <w:tc>
          <w:tcPr>
            <w:tcW w:w="3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2"/>
          </w:tcPr>
          <w:p>
            <w:pPr>
              <w:jc w:val="right"/>
              <w:ind w:right="78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2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right"/>
              <w:ind w:right="413"/>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2"/>
          </w:tcPr>
          <w:p>
            <w:pPr>
              <w:jc w:val="right"/>
              <w:ind w:right="78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2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right"/>
              <w:ind w:right="413"/>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20" w:type="dxa"/>
            <w:vAlign w:val="bottom"/>
          </w:tcPr>
          <w:p>
            <w:pPr>
              <w:spacing w:after="0"/>
              <w:rPr>
                <w:sz w:val="10"/>
                <w:szCs w:val="10"/>
                <w:color w:val="auto"/>
              </w:rPr>
            </w:pPr>
          </w:p>
        </w:tc>
      </w:tr>
      <w:tr>
        <w:trPr>
          <w:trHeight w:val="173"/>
        </w:trPr>
        <w:tc>
          <w:tcPr>
            <w:tcW w:w="3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293,899</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288,734</w:t>
            </w:r>
          </w:p>
        </w:tc>
        <w:tc>
          <w:tcPr>
            <w:tcW w:w="18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543,002</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532,974</w:t>
            </w:r>
          </w:p>
        </w:tc>
        <w:tc>
          <w:tcPr>
            <w:tcW w:w="120" w:type="dxa"/>
            <w:vAlign w:val="bottom"/>
            <w:shd w:val="clear" w:color="auto" w:fill="CFF0FC"/>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199,950</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373,410</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369,170</w:t>
            </w:r>
          </w:p>
        </w:tc>
        <w:tc>
          <w:tcPr>
            <w:tcW w:w="120" w:type="dxa"/>
            <w:vAlign w:val="bottom"/>
          </w:tcPr>
          <w:p>
            <w:pPr>
              <w:spacing w:after="0"/>
              <w:rPr>
                <w:sz w:val="18"/>
                <w:szCs w:val="18"/>
                <w:color w:val="auto"/>
              </w:rPr>
            </w:pPr>
          </w:p>
        </w:tc>
      </w:tr>
      <w:tr>
        <w:trPr>
          <w:trHeight w:val="209"/>
        </w:trPr>
        <w:tc>
          <w:tcPr>
            <w:tcW w:w="36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93,949</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90,018</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169,592</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163,804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42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97,166</w:t>
            </w:r>
          </w:p>
        </w:tc>
        <w:tc>
          <w:tcPr>
            <w:tcW w:w="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94,341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192,422</w:t>
            </w:r>
          </w:p>
        </w:tc>
        <w:tc>
          <w:tcPr>
            <w:tcW w:w="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188,754</w:t>
            </w:r>
          </w:p>
        </w:tc>
        <w:tc>
          <w:tcPr>
            <w:tcW w:w="120" w:type="dxa"/>
            <w:vAlign w:val="bottom"/>
          </w:tcPr>
          <w:p>
            <w:pPr>
              <w:spacing w:after="0"/>
              <w:rPr>
                <w:sz w:val="24"/>
                <w:szCs w:val="24"/>
                <w:color w:val="auto"/>
              </w:rPr>
            </w:pPr>
          </w:p>
        </w:tc>
      </w:tr>
      <w:tr>
        <w:trPr>
          <w:trHeight w:val="209"/>
        </w:trPr>
        <w:tc>
          <w:tcPr>
            <w:tcW w:w="3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(3,217)</w:t>
            </w: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(4,323)</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(22,830)</w:t>
            </w:r>
          </w:p>
        </w:tc>
        <w:tc>
          <w:tcPr>
            <w:tcW w:w="2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(24,950)</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6,091</w:t>
            </w:r>
          </w:p>
        </w:tc>
        <w:tc>
          <w:tcPr>
            <w:tcW w:w="120" w:type="dxa"/>
            <w:vAlign w:val="bottom"/>
          </w:tcPr>
          <w:p>
            <w:pPr>
              <w:spacing w:after="0"/>
              <w:rPr>
                <w:sz w:val="18"/>
                <w:szCs w:val="18"/>
                <w:color w:val="auto"/>
              </w:rPr>
            </w:pPr>
          </w:p>
        </w:tc>
      </w:tr>
      <w:tr>
        <w:trPr>
          <w:trHeight w:val="216"/>
        </w:trPr>
        <w:tc>
          <w:tcPr>
            <w:tcW w:w="3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losses</w:t>
            </w:r>
          </w:p>
        </w:tc>
        <w:tc>
          <w:tcPr>
            <w:tcW w:w="3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3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(6,986)</w:t>
            </w:r>
          </w:p>
        </w:tc>
        <w:tc>
          <w:tcPr>
            <w:tcW w:w="2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(29,570)</w:t>
            </w:r>
          </w:p>
        </w:tc>
        <w:tc>
          <w:tcPr>
            <w:tcW w:w="2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(31,498)</w:t>
            </w: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(1,233)</w:t>
            </w:r>
          </w:p>
        </w:tc>
        <w:tc>
          <w:tcPr>
            <w:tcW w:w="2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(7,526)</w:t>
            </w:r>
          </w:p>
        </w:tc>
      </w:tr>
      <w:tr>
        <w:trPr>
          <w:trHeight w:val="20"/>
        </w:trPr>
        <w:tc>
          <w:tcPr>
            <w:tcW w:w="362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3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(7,083)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(5,906)</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(28,337)</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(23,972)</w:t>
            </w:r>
          </w:p>
        </w:tc>
      </w:tr>
      <w:tr>
        <w:trPr>
          <w:trHeight w:val="20"/>
        </w:trPr>
        <w:tc>
          <w:tcPr>
            <w:tcW w:w="3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36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Loss per share:</w:t>
            </w: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3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(0.16)</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(0.74)</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(0.64)</w:t>
            </w:r>
          </w:p>
        </w:tc>
      </w:tr>
      <w:tr>
        <w:trPr>
          <w:trHeight w:val="20"/>
        </w:trPr>
        <w:tc>
          <w:tcPr>
            <w:tcW w:w="3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3620" w:type="dxa"/>
            <w:vAlign w:val="bottom"/>
            <w:shd w:val="clear" w:color="auto" w:fill="CFF0FC"/>
          </w:tcPr>
          <w:p>
            <w:pPr>
              <w:ind w:left="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66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(0.18)</w:t>
            </w:r>
          </w:p>
        </w:tc>
        <w:tc>
          <w:tcPr>
            <w:tcW w:w="280" w:type="dxa"/>
            <w:vAlign w:val="bottom"/>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40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(0.74)</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(0.64)</w:t>
            </w:r>
          </w:p>
        </w:tc>
      </w:tr>
      <w:tr>
        <w:trPr>
          <w:trHeight w:val="197"/>
        </w:trPr>
        <w:tc>
          <w:tcPr>
            <w:tcW w:w="36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3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56"/>
        </w:trPr>
        <w:tc>
          <w:tcPr>
            <w:tcW w:w="36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38,376</w:t>
            </w:r>
          </w:p>
        </w:tc>
        <w:tc>
          <w:tcPr>
            <w:tcW w:w="2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37,751</w:t>
            </w:r>
          </w:p>
        </w:tc>
        <w:tc>
          <w:tcPr>
            <w:tcW w:w="1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38,260</w:t>
            </w:r>
          </w:p>
        </w:tc>
        <w:tc>
          <w:tcPr>
            <w:tcW w:w="2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37,659</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197"/>
        </w:trPr>
        <w:tc>
          <w:tcPr>
            <w:tcW w:w="36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38,376</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37,751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38,260</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37,659</w:t>
            </w:r>
          </w:p>
        </w:tc>
        <w:tc>
          <w:tcPr>
            <w:tcW w:w="120" w:type="dxa"/>
            <w:vAlign w:val="bottom"/>
          </w:tcPr>
          <w:p>
            <w:pPr>
              <w:spacing w:after="0"/>
              <w:rPr>
                <w:sz w:val="17"/>
                <w:szCs w:val="17"/>
                <w:color w:val="auto"/>
              </w:rPr>
            </w:pPr>
          </w:p>
        </w:tc>
      </w:tr>
      <w:tr>
        <w:trPr>
          <w:trHeight w:val="20"/>
        </w:trPr>
        <w:tc>
          <w:tcPr>
            <w:tcW w:w="3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-2082165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-2082165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-2082165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-2082165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-1379855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-1379855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-1379855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-1379855</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-1096645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-1096645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-1096645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-1096645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-488315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-471170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-488315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-471170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-488315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-471170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-488315</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-471170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-187960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-170815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-187960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-170815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-187960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SPORTSMAN’S WAREHOUSE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Thirteen Weeks Ended August 2, 2025 and August 3, 2024</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8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20" w:type="dxa"/>
            <w:vAlign w:val="bottom"/>
            <w:tcBorders>
              <w:top w:val="single" w:sz="8" w:color="auto"/>
            </w:tcBorders>
            <w:gridSpan w:val="3"/>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Accumulat</w:t>
            </w:r>
          </w:p>
        </w:tc>
        <w:tc>
          <w:tcPr>
            <w:tcW w:w="7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74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3"/>
            <w:vMerge w:val="restart"/>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rPr>
              <w:t>Restricted nonvoting</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8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rs'</w:t>
            </w:r>
          </w:p>
        </w:tc>
        <w:tc>
          <w:tcPr>
            <w:tcW w:w="0" w:type="dxa"/>
            <w:vAlign w:val="bottom"/>
          </w:tcPr>
          <w:p>
            <w:pPr>
              <w:spacing w:after="0"/>
              <w:rPr>
                <w:sz w:val="1"/>
                <w:szCs w:val="1"/>
                <w:color w:val="auto"/>
              </w:rPr>
            </w:pPr>
          </w:p>
        </w:tc>
      </w:tr>
      <w:tr>
        <w:trPr>
          <w:trHeight w:val="173"/>
        </w:trPr>
        <w:tc>
          <w:tcPr>
            <w:tcW w:w="2840" w:type="dxa"/>
            <w:vAlign w:val="bottom"/>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Borders>
              <w:bottom w:val="single" w:sz="8" w:color="auto"/>
            </w:tcBorders>
            <w:gridSpan w:val="3"/>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020" w:type="dxa"/>
            <w:vAlign w:val="bottom"/>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78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6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76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82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8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Balance at May 4, 2024</w:t>
            </w: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164,31</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84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37,632</w:t>
            </w: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40" w:type="dxa"/>
            <w:vAlign w:val="bottom"/>
            <w:shd w:val="clear" w:color="auto" w:fill="CFF0FC"/>
          </w:tcPr>
          <w:p>
            <w:pPr>
              <w:spacing w:after="0"/>
              <w:rPr>
                <w:sz w:val="22"/>
                <w:szCs w:val="22"/>
                <w:color w:val="auto"/>
              </w:rPr>
            </w:pP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2"/>
                <w:szCs w:val="22"/>
                <w:color w:val="auto"/>
              </w:rPr>
            </w:pPr>
          </w:p>
        </w:tc>
        <w:tc>
          <w:tcPr>
            <w:tcW w:w="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82,839</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$ 247,532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Vesting of restricted stock units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7"/>
                <w:szCs w:val="17"/>
                <w:color w:val="auto"/>
              </w:rPr>
            </w:pPr>
          </w:p>
        </w:tc>
        <w:tc>
          <w:tcPr>
            <w:tcW w:w="780" w:type="dxa"/>
            <w:vAlign w:val="bottom"/>
          </w:tcPr>
          <w:p>
            <w:pPr>
              <w:ind w:left="60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7"/>
                <w:szCs w:val="17"/>
                <w:color w:val="auto"/>
              </w:rPr>
            </w:pPr>
          </w:p>
        </w:tc>
        <w:tc>
          <w:tcPr>
            <w:tcW w:w="760" w:type="dxa"/>
            <w:vAlign w:val="bottom"/>
          </w:tcPr>
          <w:p>
            <w:pPr>
              <w:ind w:left="56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42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7"/>
                <w:szCs w:val="17"/>
                <w:color w:val="auto"/>
              </w:rPr>
            </w:pPr>
          </w:p>
        </w:tc>
        <w:tc>
          <w:tcPr>
            <w:tcW w:w="8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84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Payment of withholdings on</w:t>
            </w: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restricted stock units</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8"/>
        </w:trPr>
        <w:tc>
          <w:tcPr>
            <w:tcW w:w="28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per employee stock purchase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plan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7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(5,906)</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(5,906)</w:t>
            </w:r>
          </w:p>
        </w:tc>
        <w:tc>
          <w:tcPr>
            <w:tcW w:w="0" w:type="dxa"/>
            <w:vAlign w:val="bottom"/>
          </w:tcPr>
          <w:p>
            <w:pPr>
              <w:spacing w:after="0"/>
              <w:rPr>
                <w:sz w:val="1"/>
                <w:szCs w:val="1"/>
                <w:color w:val="auto"/>
              </w:rPr>
            </w:pPr>
          </w:p>
        </w:tc>
      </w:tr>
      <w:tr>
        <w:trPr>
          <w:trHeight w:val="191"/>
        </w:trPr>
        <w:tc>
          <w:tcPr>
            <w:tcW w:w="28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Balance at August 3, 2024</w:t>
            </w:r>
          </w:p>
        </w:tc>
        <w:tc>
          <w:tcPr>
            <w:tcW w:w="78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158,41</w:t>
            </w:r>
          </w:p>
        </w:tc>
        <w:tc>
          <w:tcPr>
            <w:tcW w:w="220" w:type="dxa"/>
            <w:vAlign w:val="bottom"/>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2840" w:type="dxa"/>
            <w:vAlign w:val="bottom"/>
            <w:shd w:val="clear" w:color="auto" w:fill="CFF0FC"/>
          </w:tcPr>
          <w:p>
            <w:pPr>
              <w:spacing w:after="0"/>
              <w:rPr>
                <w:sz w:val="23"/>
                <w:szCs w:val="2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37,848</w:t>
            </w:r>
          </w:p>
        </w:tc>
        <w:tc>
          <w:tcPr>
            <w:tcW w:w="240" w:type="dxa"/>
            <w:vAlign w:val="bottom"/>
            <w:shd w:val="clear" w:color="auto" w:fill="CFF0FC"/>
          </w:tcPr>
          <w:p>
            <w:pPr>
              <w:spacing w:after="0"/>
              <w:rPr>
                <w:sz w:val="23"/>
                <w:szCs w:val="23"/>
                <w:color w:val="auto"/>
              </w:rPr>
            </w:pPr>
          </w:p>
        </w:tc>
        <w:tc>
          <w:tcPr>
            <w:tcW w:w="3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40" w:type="dxa"/>
            <w:vAlign w:val="bottom"/>
            <w:shd w:val="clear" w:color="auto" w:fill="CFF0FC"/>
          </w:tcPr>
          <w:p>
            <w:pPr>
              <w:spacing w:after="0"/>
              <w:rPr>
                <w:sz w:val="23"/>
                <w:szCs w:val="23"/>
                <w:color w:val="auto"/>
              </w:rPr>
            </w:pP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3"/>
                <w:szCs w:val="23"/>
                <w:color w:val="auto"/>
              </w:rPr>
            </w:pPr>
          </w:p>
        </w:tc>
        <w:tc>
          <w:tcPr>
            <w:tcW w:w="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84,246</w:t>
            </w:r>
          </w:p>
        </w:tc>
        <w:tc>
          <w:tcPr>
            <w:tcW w:w="2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3"/>
                <w:szCs w:val="2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$ 243,035</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84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Balance at May 3, 2025</w:t>
            </w:r>
          </w:p>
        </w:tc>
        <w:tc>
          <w:tcPr>
            <w:tcW w:w="7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84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128,07</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38,318</w:t>
            </w:r>
          </w:p>
        </w:tc>
        <w:tc>
          <w:tcPr>
            <w:tcW w:w="240" w:type="dxa"/>
            <w:vAlign w:val="bottom"/>
          </w:tcPr>
          <w:p>
            <w:pPr>
              <w:spacing w:after="0"/>
              <w:rPr>
                <w:sz w:val="20"/>
                <w:szCs w:val="20"/>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40" w:type="dxa"/>
            <w:vAlign w:val="bottom"/>
          </w:tcPr>
          <w:p>
            <w:pPr>
              <w:spacing w:after="0"/>
              <w:rPr>
                <w:sz w:val="20"/>
                <w:szCs w:val="20"/>
                <w:color w:val="auto"/>
              </w:rPr>
            </w:pPr>
          </w:p>
        </w:tc>
        <w:tc>
          <w:tcPr>
            <w:tcW w:w="7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86,604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$ 215,057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Vesting of restricted stock units</w:t>
            </w:r>
          </w:p>
        </w:tc>
        <w:tc>
          <w:tcPr>
            <w:tcW w:w="7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ind w:left="60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ind w:left="56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ind w:left="42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8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Payment of withholdings on</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restricted stock units</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8"/>
        </w:trPr>
        <w:tc>
          <w:tcPr>
            <w:tcW w:w="284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cash per employee stock purchase</w:t>
            </w: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plan</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(7,083)</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(7,083)</w:t>
            </w:r>
          </w:p>
        </w:tc>
        <w:tc>
          <w:tcPr>
            <w:tcW w:w="0" w:type="dxa"/>
            <w:vAlign w:val="bottom"/>
          </w:tcPr>
          <w:p>
            <w:pPr>
              <w:spacing w:after="0"/>
              <w:rPr>
                <w:sz w:val="1"/>
                <w:szCs w:val="1"/>
                <w:color w:val="auto"/>
              </w:rPr>
            </w:pPr>
          </w:p>
        </w:tc>
      </w:tr>
      <w:tr>
        <w:trPr>
          <w:trHeight w:val="191"/>
        </w:trPr>
        <w:tc>
          <w:tcPr>
            <w:tcW w:w="284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color w:val="auto"/>
              </w:rPr>
              <w:t>Balance at August 2, 2025</w:t>
            </w:r>
          </w:p>
        </w:tc>
        <w:tc>
          <w:tcPr>
            <w:tcW w:w="78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120,98</w:t>
            </w:r>
          </w:p>
        </w:tc>
        <w:tc>
          <w:tcPr>
            <w:tcW w:w="220" w:type="dxa"/>
            <w:vAlign w:val="bottom"/>
            <w:tcBorders>
              <w:top w:val="single" w:sz="8" w:color="CFF0FC"/>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38,413</w:t>
            </w:r>
          </w:p>
        </w:tc>
        <w:tc>
          <w:tcPr>
            <w:tcW w:w="240" w:type="dxa"/>
            <w:vAlign w:val="bottom"/>
          </w:tcPr>
          <w:p>
            <w:pPr>
              <w:spacing w:after="0"/>
              <w:rPr>
                <w:sz w:val="20"/>
                <w:szCs w:val="20"/>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40" w:type="dxa"/>
            <w:vAlign w:val="bottom"/>
          </w:tcPr>
          <w:p>
            <w:pPr>
              <w:spacing w:after="0"/>
              <w:rPr>
                <w:sz w:val="20"/>
                <w:szCs w:val="20"/>
                <w:color w:val="auto"/>
              </w:rPr>
            </w:pPr>
          </w:p>
        </w:tc>
        <w:tc>
          <w:tcPr>
            <w:tcW w:w="7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87,516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$ 208,887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88"/>
              </w:rPr>
              <w:t>6</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-4328795</wp:posOffset>
            </wp:positionV>
            <wp:extent cx="77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-4311015</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-4328795</wp:posOffset>
            </wp:positionV>
            <wp:extent cx="77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-4311015</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-4328795</wp:posOffset>
            </wp:positionV>
            <wp:extent cx="77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-4311015</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-4328795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-4311015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-4328795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-4311015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-4328795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-4311015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-4328795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-4311015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-4328795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-4311015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-4328795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-4311015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-2922270</wp:posOffset>
            </wp:positionV>
            <wp:extent cx="77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-2905125</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-2922270</wp:posOffset>
            </wp:positionV>
            <wp:extent cx="77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-2905125</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-2922270</wp:posOffset>
            </wp:positionV>
            <wp:extent cx="774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-2905125</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-2922270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-2905125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-2922270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-2905125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-2922270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-2905125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-2922270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-2905125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-2922270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-2905125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-2922270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-2905125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-1353820</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-1353820</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-1353820</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-1353820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-1353820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-1353820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-1353820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-1353820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Twenty-Six Weeks Ended August 2, 2025 and August 3, 2024</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8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20" w:type="dxa"/>
            <w:vAlign w:val="bottom"/>
            <w:tcBorders>
              <w:top w:val="single" w:sz="8" w:color="auto"/>
            </w:tcBorders>
            <w:gridSpan w:val="3"/>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Accumulat</w:t>
            </w:r>
          </w:p>
        </w:tc>
        <w:tc>
          <w:tcPr>
            <w:tcW w:w="7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74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3"/>
            <w:vMerge w:val="restart"/>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rPr>
              <w:t>Restricted nonvoting</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8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rs</w:t>
            </w:r>
          </w:p>
        </w:tc>
        <w:tc>
          <w:tcPr>
            <w:tcW w:w="0" w:type="dxa"/>
            <w:vAlign w:val="bottom"/>
          </w:tcPr>
          <w:p>
            <w:pPr>
              <w:spacing w:after="0"/>
              <w:rPr>
                <w:sz w:val="1"/>
                <w:szCs w:val="1"/>
                <w:color w:val="auto"/>
              </w:rPr>
            </w:pPr>
          </w:p>
        </w:tc>
      </w:tr>
      <w:tr>
        <w:trPr>
          <w:trHeight w:val="173"/>
        </w:trPr>
        <w:tc>
          <w:tcPr>
            <w:tcW w:w="2840" w:type="dxa"/>
            <w:vAlign w:val="bottom"/>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Borders>
              <w:bottom w:val="single" w:sz="8" w:color="auto"/>
            </w:tcBorders>
            <w:gridSpan w:val="3"/>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020" w:type="dxa"/>
            <w:vAlign w:val="bottom"/>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78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6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76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82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8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Balance at February 3, 2024</w:t>
            </w: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182,38</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84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37,529</w:t>
            </w: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shd w:val="clear" w:color="auto" w:fill="CFF0FC"/>
          </w:tcPr>
          <w:p>
            <w:pPr>
              <w:spacing w:after="0"/>
              <w:rPr>
                <w:sz w:val="22"/>
                <w:szCs w:val="22"/>
                <w:color w:val="auto"/>
              </w:rPr>
            </w:pP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2"/>
                <w:szCs w:val="22"/>
                <w:color w:val="auto"/>
              </w:rPr>
            </w:pPr>
          </w:p>
        </w:tc>
        <w:tc>
          <w:tcPr>
            <w:tcW w:w="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81,798</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$ 264,556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Vesting of restricted stock units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265</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7"/>
                <w:szCs w:val="17"/>
                <w:color w:val="auto"/>
              </w:rPr>
            </w:pPr>
          </w:p>
        </w:tc>
        <w:tc>
          <w:tcPr>
            <w:tcW w:w="780" w:type="dxa"/>
            <w:vAlign w:val="bottom"/>
          </w:tcPr>
          <w:p>
            <w:pPr>
              <w:ind w:left="60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7"/>
                <w:szCs w:val="17"/>
                <w:color w:val="auto"/>
              </w:rPr>
            </w:pPr>
          </w:p>
        </w:tc>
        <w:tc>
          <w:tcPr>
            <w:tcW w:w="760" w:type="dxa"/>
            <w:vAlign w:val="bottom"/>
          </w:tcPr>
          <w:p>
            <w:pPr>
              <w:ind w:left="56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42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7"/>
                <w:szCs w:val="17"/>
                <w:color w:val="auto"/>
              </w:rPr>
            </w:pPr>
          </w:p>
        </w:tc>
        <w:tc>
          <w:tcPr>
            <w:tcW w:w="8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84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Payment of withholdings on</w:t>
            </w: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restricted stock units</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198"/>
        </w:trPr>
        <w:tc>
          <w:tcPr>
            <w:tcW w:w="28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per employee stock purchase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plan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7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(23,972)</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(23,972)</w:t>
            </w:r>
          </w:p>
        </w:tc>
        <w:tc>
          <w:tcPr>
            <w:tcW w:w="0" w:type="dxa"/>
            <w:vAlign w:val="bottom"/>
          </w:tcPr>
          <w:p>
            <w:pPr>
              <w:spacing w:after="0"/>
              <w:rPr>
                <w:sz w:val="1"/>
                <w:szCs w:val="1"/>
                <w:color w:val="auto"/>
              </w:rPr>
            </w:pPr>
          </w:p>
        </w:tc>
      </w:tr>
      <w:tr>
        <w:trPr>
          <w:trHeight w:val="191"/>
        </w:trPr>
        <w:tc>
          <w:tcPr>
            <w:tcW w:w="28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Balance at August 3, 2024</w:t>
            </w:r>
          </w:p>
        </w:tc>
        <w:tc>
          <w:tcPr>
            <w:tcW w:w="78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158,41</w:t>
            </w:r>
          </w:p>
        </w:tc>
        <w:tc>
          <w:tcPr>
            <w:tcW w:w="220" w:type="dxa"/>
            <w:vAlign w:val="bottom"/>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2840" w:type="dxa"/>
            <w:vAlign w:val="bottom"/>
            <w:shd w:val="clear" w:color="auto" w:fill="CFF0FC"/>
          </w:tcPr>
          <w:p>
            <w:pPr>
              <w:spacing w:after="0"/>
              <w:rPr>
                <w:sz w:val="23"/>
                <w:szCs w:val="2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37,848</w:t>
            </w:r>
          </w:p>
        </w:tc>
        <w:tc>
          <w:tcPr>
            <w:tcW w:w="240" w:type="dxa"/>
            <w:vAlign w:val="bottom"/>
            <w:shd w:val="clear" w:color="auto" w:fill="CFF0FC"/>
          </w:tcPr>
          <w:p>
            <w:pPr>
              <w:spacing w:after="0"/>
              <w:rPr>
                <w:sz w:val="23"/>
                <w:szCs w:val="23"/>
                <w:color w:val="auto"/>
              </w:rPr>
            </w:pPr>
          </w:p>
        </w:tc>
        <w:tc>
          <w:tcPr>
            <w:tcW w:w="3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40" w:type="dxa"/>
            <w:vAlign w:val="bottom"/>
            <w:shd w:val="clear" w:color="auto" w:fill="CFF0FC"/>
          </w:tcPr>
          <w:p>
            <w:pPr>
              <w:spacing w:after="0"/>
              <w:rPr>
                <w:sz w:val="23"/>
                <w:szCs w:val="23"/>
                <w:color w:val="auto"/>
              </w:rPr>
            </w:pP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3"/>
                <w:szCs w:val="23"/>
                <w:color w:val="auto"/>
              </w:rPr>
            </w:pPr>
          </w:p>
        </w:tc>
        <w:tc>
          <w:tcPr>
            <w:tcW w:w="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84,246</w:t>
            </w:r>
          </w:p>
        </w:tc>
        <w:tc>
          <w:tcPr>
            <w:tcW w:w="2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3"/>
                <w:szCs w:val="2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$ 243,035</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84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Balance at February 1, 2025</w:t>
            </w:r>
          </w:p>
        </w:tc>
        <w:tc>
          <w:tcPr>
            <w:tcW w:w="7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84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149,32</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38,041</w:t>
            </w:r>
          </w:p>
        </w:tc>
        <w:tc>
          <w:tcPr>
            <w:tcW w:w="240" w:type="dxa"/>
            <w:vAlign w:val="bottom"/>
          </w:tcPr>
          <w:p>
            <w:pPr>
              <w:spacing w:after="0"/>
              <w:rPr>
                <w:sz w:val="20"/>
                <w:szCs w:val="20"/>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40" w:type="dxa"/>
            <w:vAlign w:val="bottom"/>
          </w:tcPr>
          <w:p>
            <w:pPr>
              <w:spacing w:after="0"/>
              <w:rPr>
                <w:sz w:val="20"/>
                <w:szCs w:val="20"/>
                <w:color w:val="auto"/>
              </w:rPr>
            </w:pPr>
          </w:p>
        </w:tc>
        <w:tc>
          <w:tcPr>
            <w:tcW w:w="7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$ 235,704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4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Repurchase of treasury stock</w:t>
            </w:r>
          </w:p>
        </w:tc>
        <w:tc>
          <w:tcPr>
            <w:tcW w:w="102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ind w:left="60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ind w:left="56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ind w:left="42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8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Payment of withholdings on</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restricted stock units</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(161)</w:t>
            </w:r>
          </w:p>
        </w:tc>
        <w:tc>
          <w:tcPr>
            <w:tcW w:w="360" w:type="dxa"/>
            <w:vAlign w:val="bottom"/>
          </w:tcPr>
          <w:p>
            <w:pPr>
              <w:spacing w:after="0"/>
              <w:rPr>
                <w:sz w:val="20"/>
                <w:szCs w:val="20"/>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198"/>
        </w:trPr>
        <w:tc>
          <w:tcPr>
            <w:tcW w:w="284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cash per employee stock purchase</w:t>
            </w: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plan</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(28,337)</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(28,337)</w:t>
            </w:r>
          </w:p>
        </w:tc>
        <w:tc>
          <w:tcPr>
            <w:tcW w:w="0" w:type="dxa"/>
            <w:vAlign w:val="bottom"/>
          </w:tcPr>
          <w:p>
            <w:pPr>
              <w:spacing w:after="0"/>
              <w:rPr>
                <w:sz w:val="1"/>
                <w:szCs w:val="1"/>
                <w:color w:val="auto"/>
              </w:rPr>
            </w:pPr>
          </w:p>
        </w:tc>
      </w:tr>
      <w:tr>
        <w:trPr>
          <w:trHeight w:val="191"/>
        </w:trPr>
        <w:tc>
          <w:tcPr>
            <w:tcW w:w="284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color w:val="auto"/>
              </w:rPr>
              <w:t>Balance at August 2, 2025</w:t>
            </w:r>
          </w:p>
        </w:tc>
        <w:tc>
          <w:tcPr>
            <w:tcW w:w="78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120,98</w:t>
            </w:r>
          </w:p>
        </w:tc>
        <w:tc>
          <w:tcPr>
            <w:tcW w:w="220" w:type="dxa"/>
            <w:vAlign w:val="bottom"/>
            <w:tcBorders>
              <w:top w:val="single" w:sz="8" w:color="CFF0FC"/>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38,413</w:t>
            </w:r>
          </w:p>
        </w:tc>
        <w:tc>
          <w:tcPr>
            <w:tcW w:w="240" w:type="dxa"/>
            <w:vAlign w:val="bottom"/>
          </w:tcPr>
          <w:p>
            <w:pPr>
              <w:spacing w:after="0"/>
              <w:rPr>
                <w:sz w:val="20"/>
                <w:szCs w:val="20"/>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40" w:type="dxa"/>
            <w:vAlign w:val="bottom"/>
          </w:tcPr>
          <w:p>
            <w:pPr>
              <w:spacing w:after="0"/>
              <w:rPr>
                <w:sz w:val="20"/>
                <w:szCs w:val="20"/>
                <w:color w:val="auto"/>
              </w:rPr>
            </w:pPr>
          </w:p>
        </w:tc>
        <w:tc>
          <w:tcPr>
            <w:tcW w:w="7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87,516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$ 208,887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88"/>
              </w:rPr>
              <w:t>7</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-4602480</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-4585335</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-4602480</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-4585335</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-4602480</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-4585335</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-4602480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-4585335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-4602480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-4585335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-4602480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-4585335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-4602480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-4585335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-4602480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-4585335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-4602480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-4585335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-3196590</wp:posOffset>
            </wp:positionV>
            <wp:extent cx="774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-3179445</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-3196590</wp:posOffset>
            </wp:positionV>
            <wp:extent cx="774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-3179445</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-3179445</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-3196590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-3179445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-3196590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-3179445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-3196590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-3179445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-3196590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-3179445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-3196590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-3179445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-3196590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-3179445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-1353820</wp:posOffset>
            </wp:positionV>
            <wp:extent cx="774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-1353820</wp:posOffset>
            </wp:positionV>
            <wp:extent cx="774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-1353820</wp:posOffset>
            </wp:positionV>
            <wp:extent cx="774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-1353820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-1353820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-1353820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-1353820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-1353820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SPORTSMAN’S WAREHOUSE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0" w:type="dxa"/>
        <w:tblCellMar>
          <w:top w:w="0" w:type="dxa"/>
          <w:left w:w="0" w:type="dxa"/>
          <w:bottom w:w="0" w:type="dxa"/>
          <w:right w:w="0" w:type="dxa"/>
        </w:tblCellMar>
      </w:tblPr>
      <w:tr>
        <w:trPr>
          <w:trHeight w:val="158"/>
        </w:trPr>
        <w:tc>
          <w:tcPr>
            <w:tcW w:w="8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380" w:type="dxa"/>
            <w:vAlign w:val="bottom"/>
            <w:gridSpan w:val="7"/>
          </w:tcPr>
          <w:p>
            <w:pPr>
              <w:ind w:left="660"/>
              <w:spacing w:after="0" w:line="157" w:lineRule="exact"/>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17"/>
        </w:trPr>
        <w:tc>
          <w:tcPr>
            <w:tcW w:w="80" w:type="dxa"/>
            <w:vAlign w:val="bottom"/>
          </w:tcPr>
          <w:p>
            <w:pPr>
              <w:spacing w:after="0"/>
              <w:rPr>
                <w:sz w:val="10"/>
                <w:szCs w:val="10"/>
                <w:color w:val="auto"/>
              </w:rPr>
            </w:pPr>
          </w:p>
        </w:tc>
        <w:tc>
          <w:tcPr>
            <w:tcW w:w="7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right"/>
              <w:ind w:right="68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1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right"/>
              <w:ind w:right="431"/>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80" w:type="dxa"/>
            <w:vAlign w:val="bottom"/>
            <w:gridSpan w:val="2"/>
          </w:tcPr>
          <w:p>
            <w:pPr>
              <w:spacing w:after="0"/>
              <w:rPr>
                <w:sz w:val="10"/>
                <w:szCs w:val="10"/>
                <w:color w:val="auto"/>
              </w:rPr>
            </w:pPr>
          </w:p>
        </w:tc>
      </w:tr>
      <w:tr>
        <w:trPr>
          <w:trHeight w:val="173"/>
        </w:trPr>
        <w:tc>
          <w:tcPr>
            <w:tcW w:w="8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9"/>
        </w:trPr>
        <w:tc>
          <w:tcPr>
            <w:tcW w:w="80" w:type="dxa"/>
            <w:vAlign w:val="bottom"/>
          </w:tcPr>
          <w:p>
            <w:pPr>
              <w:spacing w:after="0"/>
              <w:rPr>
                <w:sz w:val="18"/>
                <w:szCs w:val="18"/>
                <w:color w:val="auto"/>
              </w:rPr>
            </w:pPr>
          </w:p>
        </w:tc>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(28,337)</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(23,972)</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discount on debt and deferred financing fees</w:t>
            </w: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definite lived intangible</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on asset dispositions</w:t>
            </w: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(7,533)</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operating assets and liabilities, net of amounts acquired:</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Accounts receivable, net</w:t>
            </w: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(176)</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Operating lease assets and liabilities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(3,227)</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Merchandise inventories</w:t>
            </w: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(101,541)</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(8,725)</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(1,367)</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Accrued expenses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Income taxes payable and receivable</w:t>
            </w: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(148)</w:t>
            </w:r>
          </w:p>
        </w:tc>
        <w:tc>
          <w:tcPr>
            <w:tcW w:w="6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702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7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(86,799)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(16,132)</w:t>
            </w:r>
          </w:p>
        </w:tc>
        <w:tc>
          <w:tcPr>
            <w:tcW w:w="6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property and equipment, net of amounts acquired</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(7,686)</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4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(11,169)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(7,631)</w:t>
            </w:r>
          </w:p>
        </w:tc>
        <w:tc>
          <w:tcPr>
            <w:tcW w:w="60" w:type="dxa"/>
            <w:vAlign w:val="bottom"/>
          </w:tcPr>
          <w:p>
            <w:pPr>
              <w:spacing w:after="0"/>
              <w:rPr>
                <w:sz w:val="18"/>
                <w:szCs w:val="18"/>
                <w:color w:val="auto"/>
              </w:rPr>
            </w:pPr>
          </w:p>
        </w:tc>
      </w:tr>
      <w:tr>
        <w:trPr>
          <w:trHeight w:val="209"/>
        </w:trPr>
        <w:tc>
          <w:tcPr>
            <w:tcW w:w="80" w:type="dxa"/>
            <w:vAlign w:val="bottom"/>
          </w:tcPr>
          <w:p>
            <w:pPr>
              <w:spacing w:after="0"/>
              <w:rPr>
                <w:sz w:val="18"/>
                <w:szCs w:val="18"/>
                <w:color w:val="auto"/>
              </w:rPr>
            </w:pPr>
          </w:p>
        </w:tc>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borrowings on line of credit</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Borrowings on term loan</w:t>
            </w: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(decrease) in book overdraft</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(5,917)</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common stock per employee stock purchase plan</w:t>
            </w: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withholdings on restricted stock units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 of deferred financing costs and discount on term loan</w:t>
            </w: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(972)</w:t>
            </w:r>
          </w:p>
        </w:tc>
        <w:tc>
          <w:tcPr>
            <w:tcW w:w="60" w:type="dxa"/>
            <w:vAlign w:val="bottom"/>
          </w:tcPr>
          <w:p>
            <w:pPr>
              <w:spacing w:after="0"/>
              <w:rPr>
                <w:sz w:val="18"/>
                <w:szCs w:val="18"/>
                <w:color w:val="auto"/>
              </w:rPr>
            </w:pPr>
          </w:p>
        </w:tc>
      </w:tr>
      <w:tr>
        <w:trPr>
          <w:trHeight w:val="209"/>
        </w:trPr>
        <w:tc>
          <w:tcPr>
            <w:tcW w:w="80" w:type="dxa"/>
            <w:vAlign w:val="bottom"/>
          </w:tcPr>
          <w:p>
            <w:pPr>
              <w:spacing w:after="0"/>
              <w:rPr>
                <w:sz w:val="18"/>
                <w:szCs w:val="18"/>
                <w:color w:val="auto"/>
              </w:rPr>
            </w:pPr>
          </w:p>
        </w:tc>
        <w:tc>
          <w:tcPr>
            <w:tcW w:w="7020" w:type="dxa"/>
            <w:vAlign w:val="bottom"/>
            <w:tcBorders>
              <w:top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8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96,940</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23,182</w:t>
            </w:r>
          </w:p>
        </w:tc>
        <w:tc>
          <w:tcPr>
            <w:tcW w:w="12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(581)</w:t>
            </w:r>
          </w:p>
        </w:tc>
        <w:tc>
          <w:tcPr>
            <w:tcW w:w="6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7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48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2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80" w:type="dxa"/>
            <w:vAlign w:val="bottom"/>
          </w:tcPr>
          <w:p>
            <w:pPr>
              <w:spacing w:after="0"/>
              <w:rPr>
                <w:sz w:val="19"/>
                <w:szCs w:val="19"/>
                <w:color w:val="auto"/>
              </w:rPr>
            </w:pPr>
          </w:p>
        </w:tc>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2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80" w:type="dxa"/>
            <w:vAlign w:val="bottom"/>
          </w:tcPr>
          <w:p>
            <w:pPr>
              <w:spacing w:after="0" w:line="20" w:lineRule="exact"/>
              <w:rPr>
                <w:sz w:val="1"/>
                <w:szCs w:val="1"/>
                <w:color w:val="auto"/>
              </w:rPr>
            </w:pPr>
          </w:p>
        </w:tc>
        <w:tc>
          <w:tcPr>
            <w:tcW w:w="70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7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net of amounts capitalized</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1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432"/>
        </w:trPr>
        <w:tc>
          <w:tcPr>
            <w:tcW w:w="7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Supplemental schedule of noncash activities:</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w:t>
            </w: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56"/>
        </w:trPr>
        <w:tc>
          <w:tcPr>
            <w:tcW w:w="80" w:type="dxa"/>
            <w:vAlign w:val="bottom"/>
          </w:tcPr>
          <w:p>
            <w:pPr>
              <w:spacing w:after="0"/>
              <w:rPr>
                <w:sz w:val="22"/>
                <w:szCs w:val="22"/>
                <w:color w:val="auto"/>
              </w:rPr>
            </w:pPr>
          </w:p>
        </w:tc>
        <w:tc>
          <w:tcPr>
            <w:tcW w:w="9260" w:type="dxa"/>
            <w:vAlign w:val="bottom"/>
            <w:gridSpan w:val="5"/>
          </w:tcPr>
          <w:p>
            <w:pPr>
              <w:jc w:val="center"/>
              <w:ind w:left="173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condensed consolidated financial statements.</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648"/>
        </w:trPr>
        <w:tc>
          <w:tcPr>
            <w:tcW w:w="7100" w:type="dxa"/>
            <w:vAlign w:val="bottom"/>
            <w:gridSpan w:val="2"/>
          </w:tcPr>
          <w:p>
            <w:pPr>
              <w:jc w:val="right"/>
              <w:ind w:right="1350"/>
              <w:spacing w:after="0"/>
              <w:rPr>
                <w:sz w:val="20"/>
                <w:szCs w:val="20"/>
                <w:color w:val="auto"/>
              </w:rPr>
            </w:pPr>
            <w:r>
              <w:rPr>
                <w:rFonts w:ascii="Times New Roman" w:cs="Times New Roman" w:eastAsia="Times New Roman" w:hAnsi="Times New Roman"/>
                <w:sz w:val="18"/>
                <w:szCs w:val="18"/>
                <w:color w:val="auto"/>
              </w:rPr>
              <w:t>8</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70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-4457065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-4457065</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-3891280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-3891280</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-2776855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-2776855</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-2485390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-2485390</wp:posOffset>
            </wp:positionV>
            <wp:extent cx="774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-2193925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-2176780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-2193925</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-2176780</wp:posOffset>
            </wp:positionV>
            <wp:extent cx="774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SPORTSMAN’S WAREHOUSE HOLDINGS, INC.</w:t>
      </w:r>
    </w:p>
    <w:p>
      <w:pPr>
        <w:spacing w:after="0" w:line="1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(unaudited)</w:t>
      </w:r>
    </w:p>
    <w:p>
      <w:pPr>
        <w:spacing w:after="0" w:line="311" w:lineRule="exact"/>
        <w:rPr>
          <w:sz w:val="20"/>
          <w:szCs w:val="20"/>
          <w:color w:val="auto"/>
        </w:rPr>
      </w:pPr>
    </w:p>
    <w:p>
      <w:pPr>
        <w:ind w:right="7200" w:firstLine="8"/>
        <w:spacing w:after="0" w:line="378" w:lineRule="auto"/>
        <w:tabs>
          <w:tab w:leader="none" w:pos="2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 Description of Business</w:t>
      </w:r>
    </w:p>
    <w:p>
      <w:pPr>
        <w:ind w:right="340"/>
        <w:spacing w:after="0" w:line="266" w:lineRule="auto"/>
        <w:rPr>
          <w:sz w:val="20"/>
          <w:szCs w:val="20"/>
          <w:color w:val="auto"/>
        </w:rPr>
      </w:pPr>
      <w:r>
        <w:rPr>
          <w:rFonts w:ascii="Times New Roman" w:cs="Times New Roman" w:eastAsia="Times New Roman" w:hAnsi="Times New Roman"/>
          <w:sz w:val="18"/>
          <w:szCs w:val="18"/>
          <w:color w:val="auto"/>
        </w:rPr>
        <w:t>Sportsman’s Warehouse Holdings, Inc., a Delaware corporation (“Holdings”), and its subsidiaries (collectively, the “Company”) operate retail sporting goods stores. As of August 2, 2025, the Company operated 146 stores in 32 states. The Company also operates an e-commerce platform at www.sportsmans.com. The Company’s stores and website are aggregated into one operating and reportable segment.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and have been prepared by management of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such rules and regulations. The Company’s condensed consolidated balance sheet as of February 1, 2025 was derived from the Company’s audited consolidated balance sheet as of that date. All other condensed consolidated financial statements contained herein are unaudited and reflect all adjustments that are, in the opinion of management, necessary to summarize fairly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condensed consolidated financial statements for the periods presented. All of these adjustments are of a normal recurring nature. The results of the fiscal quarter ended August 2, 2025 are not necessarily indicative of the results to be obtained for the fiscal year ending January 31, 2026. These condensed consolidated financial statements should be read in conjunction with the Company’s audited consolidated financial statements and notes thereto included in the Company’s Annual Report on Form 10-K for the fiscal year ended February 1, 2025 filed with the SEC on April 2, 2025 (the “Fiscal 2024 Form 10-K”).</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to the Fiscal 2024 Form 10-K. The Company has consistently applied the accounting policies to all periods presented in the condensed consolidated financial statements presented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No. 2023-09, Income Taxes (Topic 740)—Improvements to Income Tax Disclosures, which include improvements to income tax disclosures by requiring (1) consistent categories and greater disaggregation of information in the rate reconciliation and (2) income taxes paid disaggregated by jurisdiction. This ASU also includes certain other amendments to better align disclosures with Regulation S-X and to remove disclosures no longer considered cost beneficial or relevant. This ASU is effective for public entities for annual periods beginning after December 15, 2024, with earlier or retrospective application permitted. The amendments in this ASU should be applied prospectively for annual financial statements not yet issued or made available for issuance. The Company is evaluating the future impact of the issuance of this ASU on its consolidated financial statements.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which includes improvements to the disclosures in the notes to the financial statements of specified information about certain costs and expenses. This ASU requires the disclosure of (1) amounts of certain relevant expenses included in each caption on the face of the financial statements, (2) certain amounts that are already required to be disclosed under GAAP in the same disclosure as the other disaggregation requirements, (3) a qualitative description of the amounts remaining in relevant expense captions that are not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separately disaggregated quantitatively, and (4) the total amount of selling expenses and, in annual reporting periods, an entity's definition of selling expenses. This ASU is effective for public entities for annual periods beginning after December 15, 2026, and interim reporting periods beginning after December 15, 2027 with early adoption permitted. The Company is evaluating the future impact of the issuance of this ASU on its consolidated financial statements.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accounting policy</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operates solely as an outdoor retailer, which includes both retail stores and an e-commerce platform, that offers a broad range of products in the United States and online. Generally, all revenues are recognized when control of the promised goods is transferred to customers, in an amount that reflects the consideration in exchange for those goods. Accordingly, the Company implicitly enters into a contract with customers to deliver merchandise inventory at the point of sale. Collectability is reasonably assured since the Company only extends immaterial credit for purchases to certain municipalities.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Company’s revenue is for single performance obligations for the following distinct items:</w:t>
      </w:r>
    </w:p>
    <w:p>
      <w:pPr>
        <w:spacing w:after="0" w:line="117" w:lineRule="exact"/>
        <w:rPr>
          <w:sz w:val="20"/>
          <w:szCs w:val="20"/>
          <w:color w:val="auto"/>
        </w:rPr>
      </w:pPr>
    </w:p>
    <w:p>
      <w:pPr>
        <w:ind w:left="900" w:hanging="51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store sales</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E-commerce sales</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Gift cards and loyalty rewards program</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performance obligations related to retail store and e-commerce sales contracts, the Company typically transfers control, for retail stores, upon consummation of the sale when the product is paid for and taken by the customer and, for e-commerce sales, when the products are tendered for delivery to the common carrier.</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transaction price for each contract is the stated price on the product, reduced by any stated discounts at that point in time. The Company does not engage in sales of products that attach a future material right which could result in a separate performance obligation for the purchase of goods in the future at a material discount. The implicit point-of-sale contract with the customer, as reflected in the transaction receipt, states the final terms of the sale, including the description, quantity, and price of each product purchased. Payment for the Company’s contracts is due in full upon delivery. The customer agrees to a stated price implicit in the contract that does not vary over the contract.</w:t>
      </w:r>
    </w:p>
    <w:p>
      <w:pPr>
        <w:spacing w:after="0" w:line="18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transaction price relative to sales subject to a right of return reflects the amount of estimated consideration to which the Company expects to be entitled. This amount of variable consideration included in the transaction price, and measurement of net sales, is included in net sales only to the extent that it is probable that there will be no significant reversal in a future period. Actual amounts of consideration ultimately received may differ from the Company’s estimates. The allowance for sales returns is estimated based upon historical experience and a provision for estimated returns is recorded as a reduction in sales in the relevant period. The estimated merchandise inventory cost related to the sales returns is recorded in prepaid expenses and other. The estimated refund liabilities are recorded in accrued expenses. If actual results in the future vary from the Company’s estimates, the Company adjusts these estimates, which would affect net sales and earnings in the period such variances become known.</w:t>
      </w:r>
    </w:p>
    <w:p>
      <w:pPr>
        <w:spacing w:after="0" w:line="189"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Contract liabilities are recognized primarily for gift card sales and the Company’s loyalty reward program. Cash received from the sale of gift cards is recorded as a contract liability in accrued expenses, and the Company recognizes revenue upon the customer’s redemption of the gift card. Gift card breakage is recognized as revenue in proportion to the pattern of customer redemptions by applying a historical breakage rate of 4.0% when no escheat liability to relevant jurisdictions exists. Based upon historical experience, gift cards are predominantly redeemed in the first two years following their issuance date. The Company does not sell or provide gift cards that carry expiration dates.</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Accounting Standards Codification (“ASC”) 606 requires the Company to allocate the transaction price between the goods and the loyalty reward points based on the relative standalone selling price. The Company recognizes revenue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the breakage of loyalty reward points as revenue in proportion to the pattern of customer redemption of the points by applying an estimated breakage rate of 35.0% using historical rates and future expectations.</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it relates to e-commerce sales, the Company accounts for shipping and handling as fulfillment activities, and not as a separate performance obligation. Accordingly, the Company recognizes revenue for only one performance obligation, the sale of the product, at the shipping point (when the customer gains control). Revenue associated with shipping and handling is not material. The costs associated with fulfillment are recorded in costs of goods sold.</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offers promotional financing and credit cards issued by a third-party bank that manages and directly extends credit to the Company’s customers. The Company provides a license to its brand and marketing services, and the Company facilitates credit applications in its stores and online. The banks are the sole owners of the accounts receivable generated under the program and, accordingly, the Company does not hold any customer receivables related to these programs and acts as an agent in the financing transactions with customers. The Company is eligible to receive a profit share from certain of its banking partners based on the annual performance of their corresponding portfolio, and the Company receives monthly payments based on forecasts of full-year performance. This is a form of variable consideration. The Company records such profit share as revenue over time using the most likely amount method, which reflects the amount earned each month when it is determined that the likelihood of a significant revenue reversal is not probable, which is typically monthly. Profit-share payments occur monthly, shortly after the end of each program month.</w:t>
      </w:r>
    </w:p>
    <w:p>
      <w:pPr>
        <w:spacing w:after="0" w:line="19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Taxes assessed by a governmental authority that are both imposed on and concurrent with a specific revenue-producing transaction, that are collected by the Company from a customer, are excluded from revenue.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returns</w:t>
      </w:r>
    </w:p>
    <w:p>
      <w:pPr>
        <w:spacing w:after="0" w:line="13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allows customers to return items purchased within 30 days provided the merchandise is in resaleable condition with original packaging and the original sales/gift receipt is presented. The Company estimates a reserve for sales returns and records the respective reserve amounts, including a right to return asset when a product is expected to be returned and resold. Historical experience of actual returns and customer return rights are the key factors used in determining the estimated sales returns.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3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right of return assets, contract liabilities, and sales return liabilities with customers as of August 2, 2025 and February 1,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00" w:type="dxa"/>
            <w:vAlign w:val="bottom"/>
          </w:tcPr>
          <w:p>
            <w:pPr>
              <w:spacing w:after="0"/>
              <w:rPr>
                <w:sz w:val="15"/>
                <w:szCs w:val="15"/>
                <w:color w:val="auto"/>
              </w:rPr>
            </w:pPr>
          </w:p>
        </w:tc>
      </w:tr>
      <w:tr>
        <w:trPr>
          <w:trHeight w:val="210"/>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 of return assets, which are included in prepaid expenses and other</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2,201</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1,732</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Estimated gift card contract liability, net of breakage</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(30,872)</w:t>
            </w: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loyalty contract liability, net of breakage</w:t>
            </w: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(1,647)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(2,606)</w:t>
            </w:r>
          </w:p>
        </w:tc>
      </w:tr>
      <w:tr>
        <w:trPr>
          <w:trHeight w:val="234"/>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Sales return liabilities, which are included in accrued expenses</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(2,585)</w:t>
            </w:r>
          </w:p>
        </w:tc>
      </w:tr>
    </w:tbl>
    <w:p>
      <w:pPr>
        <w:spacing w:after="0" w:line="1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13 and 26 weeks ended August 2, 2025, the Company recognized approximately $318 and $697 in gift card breakage and approximately $1,223 and $2,247 in loyalty breakage, respectively. During the 13 and 26 weeks ended August 3, 2024, the Company recognized approximately $375 and $782 in gift card breakage and approximately $1,385 and $1,823 in loyalty breakage, respectively. During the 13 and 26 weeks ended August 2, 2025, the Company recognized revenue of $3,532 and $11,662, respectively, relating to contract liabilities that existed at February 1, 2025.</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current balance of the right of return assets is the expected amount of inventory to be returned that is expected to be resold. The current balance of the contract liabilities primarily relates to the gift card and loyalty reward program liabilities. The Company expects the revenue associated with these liabilities to be recognized in proportion to the pattern of customer redemptions over the next two years. The current balance of sales return liabilities is the expected amount of sales returns from sales that have occurred.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 from contracts with customers</w:t>
      </w:r>
    </w:p>
    <w:p>
      <w:pPr>
        <w:spacing w:after="0" w:line="11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 the following table, revenue from contracts with customers is disaggregated by department. The percentage of net sales related to the Company’s departments during the 13 and 26 weeks ended August 2, 2025 and August 3, 2024, was approximately: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72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17"/>
        </w:trPr>
        <w:tc>
          <w:tcPr>
            <w:tcW w:w="1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Department</w:t>
            </w:r>
          </w:p>
        </w:tc>
        <w:tc>
          <w:tcPr>
            <w:tcW w:w="120" w:type="dxa"/>
            <w:vAlign w:val="bottom"/>
          </w:tcPr>
          <w:p>
            <w:pPr>
              <w:spacing w:after="0"/>
              <w:rPr>
                <w:sz w:val="10"/>
                <w:szCs w:val="10"/>
                <w:color w:val="auto"/>
              </w:rPr>
            </w:pPr>
          </w:p>
        </w:tc>
        <w:tc>
          <w:tcPr>
            <w:tcW w:w="390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Product Offerings</w:t>
            </w:r>
          </w:p>
        </w:tc>
        <w:tc>
          <w:tcPr>
            <w:tcW w:w="100" w:type="dxa"/>
            <w:vAlign w:val="bottom"/>
            <w:vMerge w:val="restart"/>
          </w:tcPr>
          <w:p>
            <w:pPr>
              <w:spacing w:after="0"/>
              <w:rPr>
                <w:sz w:val="10"/>
                <w:szCs w:val="10"/>
                <w:color w:val="auto"/>
              </w:rPr>
            </w:pPr>
          </w:p>
        </w:tc>
        <w:tc>
          <w:tcPr>
            <w:tcW w:w="1400" w:type="dxa"/>
            <w:vAlign w:val="bottom"/>
            <w:tcBorders>
              <w:top w:val="single" w:sz="8" w:color="auto"/>
            </w:tcBorders>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11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Borders>
              <w:top w:val="single" w:sz="8" w:color="auto"/>
            </w:tcBorders>
            <w:gridSpan w:val="3"/>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1140" w:type="dxa"/>
            <w:vAlign w:val="bottom"/>
            <w:tcBorders>
              <w:top w:val="single" w:sz="8" w:color="auto"/>
            </w:tcBorders>
          </w:tcPr>
          <w:p>
            <w:pPr>
              <w:jc w:val="right"/>
              <w:ind w:right="195"/>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5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9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1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5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Camping</w:t>
            </w:r>
          </w:p>
        </w:tc>
        <w:tc>
          <w:tcPr>
            <w:tcW w:w="120" w:type="dxa"/>
            <w:vAlign w:val="bottom"/>
            <w:shd w:val="clear" w:color="auto" w:fill="CFF0FC"/>
          </w:tcPr>
          <w:p>
            <w:pPr>
              <w:spacing w:after="0"/>
              <w:rPr>
                <w:sz w:val="16"/>
                <w:szCs w:val="16"/>
                <w:color w:val="auto"/>
              </w:rPr>
            </w:pPr>
          </w:p>
        </w:tc>
        <w:tc>
          <w:tcPr>
            <w:tcW w:w="4000" w:type="dxa"/>
            <w:vAlign w:val="bottom"/>
            <w:gridSpan w:val="2"/>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Backpacks, camp essentials, canoes and kayaks,</w:t>
            </w:r>
          </w:p>
        </w:tc>
        <w:tc>
          <w:tcPr>
            <w:tcW w:w="1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coolers, outdoor cooking equipment, sleeping bags,</w:t>
            </w: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tents and tools</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98"/>
        </w:trPr>
        <w:tc>
          <w:tcPr>
            <w:tcW w:w="1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Apparel</w:t>
            </w:r>
          </w:p>
        </w:tc>
        <w:tc>
          <w:tcPr>
            <w:tcW w:w="120" w:type="dxa"/>
            <w:vAlign w:val="bottom"/>
          </w:tcPr>
          <w:p>
            <w:pPr>
              <w:spacing w:after="0"/>
              <w:rPr>
                <w:sz w:val="17"/>
                <w:szCs w:val="17"/>
                <w:color w:val="auto"/>
              </w:rPr>
            </w:pPr>
          </w:p>
        </w:tc>
        <w:tc>
          <w:tcPr>
            <w:tcW w:w="4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Camouflage, jackets, hats, outerwear, sportswear,</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technical gear and work wear</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8"/>
        </w:trPr>
        <w:tc>
          <w:tcPr>
            <w:tcW w:w="15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Fishing</w:t>
            </w:r>
          </w:p>
        </w:tc>
        <w:tc>
          <w:tcPr>
            <w:tcW w:w="120" w:type="dxa"/>
            <w:vAlign w:val="bottom"/>
            <w:shd w:val="clear" w:color="auto" w:fill="CFF0FC"/>
          </w:tcPr>
          <w:p>
            <w:pPr>
              <w:spacing w:after="0"/>
              <w:rPr>
                <w:sz w:val="17"/>
                <w:szCs w:val="17"/>
                <w:color w:val="auto"/>
              </w:rPr>
            </w:pPr>
          </w:p>
        </w:tc>
        <w:tc>
          <w:tcPr>
            <w:tcW w:w="400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Bait, electronics, fishing rods, flotation items, fly</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fishing, lines, lures, reels, tackle and small boats</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198"/>
        </w:trPr>
        <w:tc>
          <w:tcPr>
            <w:tcW w:w="1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Footwear</w:t>
            </w:r>
          </w:p>
        </w:tc>
        <w:tc>
          <w:tcPr>
            <w:tcW w:w="120" w:type="dxa"/>
            <w:vAlign w:val="bottom"/>
          </w:tcPr>
          <w:p>
            <w:pPr>
              <w:spacing w:after="0"/>
              <w:rPr>
                <w:sz w:val="17"/>
                <w:szCs w:val="17"/>
                <w:color w:val="auto"/>
              </w:rPr>
            </w:pPr>
          </w:p>
        </w:tc>
        <w:tc>
          <w:tcPr>
            <w:tcW w:w="4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Hiking boots, socks, sport sandals, technical</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footwear, trail shoes, casual shoes, waders and work</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boots</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8"/>
        </w:trPr>
        <w:tc>
          <w:tcPr>
            <w:tcW w:w="15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Hunting and</w:t>
            </w:r>
          </w:p>
        </w:tc>
        <w:tc>
          <w:tcPr>
            <w:tcW w:w="120" w:type="dxa"/>
            <w:vAlign w:val="bottom"/>
            <w:shd w:val="clear" w:color="auto" w:fill="CFF0FC"/>
          </w:tcPr>
          <w:p>
            <w:pPr>
              <w:spacing w:after="0"/>
              <w:rPr>
                <w:sz w:val="17"/>
                <w:szCs w:val="17"/>
                <w:color w:val="auto"/>
              </w:rPr>
            </w:pPr>
          </w:p>
        </w:tc>
        <w:tc>
          <w:tcPr>
            <w:tcW w:w="400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Ammunition, archery items, ATV accessories, blinds</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Shooting</w:t>
            </w:r>
          </w:p>
        </w:tc>
        <w:tc>
          <w:tcPr>
            <w:tcW w:w="120" w:type="dxa"/>
            <w:vAlign w:val="bottom"/>
            <w:shd w:val="clear" w:color="auto" w:fill="CFF0FC"/>
          </w:tcPr>
          <w:p>
            <w:pPr>
              <w:spacing w:after="0"/>
              <w:rPr>
                <w:sz w:val="18"/>
                <w:szCs w:val="18"/>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tree stands, decoys, firearms, reloading</w:t>
            </w: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and shooting gear</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198"/>
        </w:trPr>
        <w:tc>
          <w:tcPr>
            <w:tcW w:w="1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Optics, Electronics,</w:t>
            </w:r>
          </w:p>
        </w:tc>
        <w:tc>
          <w:tcPr>
            <w:tcW w:w="120" w:type="dxa"/>
            <w:vAlign w:val="bottom"/>
          </w:tcPr>
          <w:p>
            <w:pPr>
              <w:spacing w:after="0"/>
              <w:rPr>
                <w:sz w:val="17"/>
                <w:szCs w:val="17"/>
                <w:color w:val="auto"/>
              </w:rPr>
            </w:pPr>
          </w:p>
        </w:tc>
        <w:tc>
          <w:tcPr>
            <w:tcW w:w="4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Gift items, GPS devices, knives, lighting, optics,</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Accessories, and</w:t>
            </w:r>
          </w:p>
        </w:tc>
        <w:tc>
          <w:tcPr>
            <w:tcW w:w="1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two-way radios, and other license revenue, net of</w:t>
            </w:r>
          </w:p>
        </w:tc>
        <w:tc>
          <w:tcPr>
            <w:tcW w:w="1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c>
          <w:tcPr>
            <w:tcW w:w="1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1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1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1"/>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discounts</w:t>
            </w:r>
          </w:p>
        </w:tc>
        <w:tc>
          <w:tcPr>
            <w:tcW w:w="13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spacing w:after="0"/>
              <w:rPr>
                <w:sz w:val="19"/>
                <w:szCs w:val="19"/>
                <w:color w:val="auto"/>
              </w:rPr>
            </w:pPr>
          </w:p>
        </w:tc>
        <w:tc>
          <w:tcPr>
            <w:tcW w:w="3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15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9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-24765</wp:posOffset>
            </wp:positionV>
            <wp:extent cx="1111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-8255</wp:posOffset>
            </wp:positionV>
            <wp:extent cx="1111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-24765</wp:posOffset>
            </wp:positionV>
            <wp:extent cx="1111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-8255</wp:posOffset>
            </wp:positionV>
            <wp:extent cx="1111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1111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1111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1117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as of August 2, 2025 and February 1,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73"/>
        </w:trPr>
        <w:tc>
          <w:tcPr>
            <w:tcW w:w="45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183,312</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175,178</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234,659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232,168</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421,380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408,472</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(260,383)</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(240,634)</w:t>
            </w:r>
          </w:p>
        </w:tc>
        <w:tc>
          <w:tcPr>
            <w:tcW w:w="0" w:type="dxa"/>
            <w:vAlign w:val="bottom"/>
          </w:tcPr>
          <w:p>
            <w:pPr>
              <w:spacing w:after="0"/>
              <w:rPr>
                <w:sz w:val="1"/>
                <w:szCs w:val="1"/>
                <w:color w:val="auto"/>
              </w:rPr>
            </w:pPr>
          </w:p>
        </w:tc>
      </w:tr>
      <w:tr>
        <w:trPr>
          <w:trHeight w:val="20"/>
        </w:trPr>
        <w:tc>
          <w:tcPr>
            <w:tcW w:w="4500" w:type="dxa"/>
            <w:vAlign w:val="bottom"/>
            <w:shd w:val="clear" w:color="auto" w:fill="CFF0FC"/>
          </w:tcPr>
          <w:p>
            <w:pPr>
              <w:spacing w:after="0" w:line="20" w:lineRule="exact"/>
              <w:rPr>
                <w:sz w:val="1"/>
                <w:szCs w:val="1"/>
                <w:color w:val="auto"/>
              </w:rPr>
            </w:pPr>
          </w:p>
        </w:tc>
        <w:tc>
          <w:tcPr>
            <w:tcW w:w="3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160,997</w:t>
            </w:r>
          </w:p>
        </w:tc>
        <w:tc>
          <w:tcPr>
            <w:tcW w:w="10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167,838</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24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50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5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-1499870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-1499870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-1216660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consisted of the following as of August 2, 2025 and February 1,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73"/>
        </w:trPr>
        <w:tc>
          <w:tcPr>
            <w:tcW w:w="52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Book overdraft</w:t>
            </w:r>
          </w:p>
        </w:tc>
        <w:tc>
          <w:tcPr>
            <w:tcW w:w="28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22,832</w:t>
            </w:r>
          </w:p>
        </w:tc>
        <w:tc>
          <w:tcPr>
            <w:tcW w:w="5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21,929</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Unearned revenue</w:t>
            </w: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36,600</w:t>
            </w:r>
          </w:p>
        </w:tc>
        <w:tc>
          <w:tcPr>
            <w:tcW w:w="10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11,397</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Sales and use tax payable</w:t>
            </w: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10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construction costs</w:t>
            </w:r>
          </w:p>
        </w:tc>
        <w:tc>
          <w:tcPr>
            <w:tcW w:w="2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20,396</w:t>
            </w:r>
          </w:p>
        </w:tc>
        <w:tc>
          <w:tcPr>
            <w:tcW w:w="100" w:type="dxa"/>
            <w:vAlign w:val="bottom"/>
          </w:tcPr>
          <w:p>
            <w:pPr>
              <w:spacing w:after="0"/>
              <w:rPr>
                <w:sz w:val="18"/>
                <w:szCs w:val="18"/>
                <w:color w:val="auto"/>
              </w:rPr>
            </w:pPr>
          </w:p>
        </w:tc>
      </w:tr>
      <w:tr>
        <w:trPr>
          <w:trHeight w:val="249"/>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25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99,002</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95,946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operating leases typically have terms of up to 15 years, with multiple options for the Company to extend the lease.</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determines whether a contract is or contains a lease at contract inception. As the rate implicit in the lease is not readily determinable in most of the Company’s leases, the Company uses its incremental borrowing rate based on the information available at commencement date to determine the present value of lease payments. The Company’s incremental borrowing rate for a lease is the rate of interest it would have to pay on a collateralized basis to borrow an amount equal to the lease payments under similar terms. The operating lease asset also includes any fixed lease payments made and includes lease incentives and incurred initial direct costs. Operating lease expense for fixed lease payments is recognized on a straight-line basis over the lease term. The Company’s lease terms may include options to extend or terminate the lease. Additionally, the Company’s leases do not contain any material residual guarantees or material restrictive covenants.</w:t>
      </w:r>
    </w:p>
    <w:p>
      <w:pPr>
        <w:spacing w:after="0" w:line="18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For the period ended August 2, 2025, the Company changed the presentation of certain lease-related items within the Operating Activities section of the Statement of Cash Flows. Previously, changes in noncash lease expense and changes in operating lease liabilities were presented as separate line items. Beginning with the current quarter, these amounts are combined and presented as a single line item titled “Operating lease assets and liabilities.”</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change was made to streamline the presentation and provide a more concise view of lease-related operating cash flow activity. Prior period amounts have been reclassified to conform to the current period presentation. This change had no impact on total net cash provided by operating activities.</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13 and 26 weeks ended August 2, 2025, the Company recorded non-cash decreases of $8 and $3,961, respectively, to the right of use assets and operating lease liabilities resulting from lease remeasurements from the exercise of lease extension options, acquired leases, new leases added and lease amendments.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ASC 842, total lease expense was comprised of the following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740" w:type="dxa"/>
            <w:vAlign w:val="bottom"/>
            <w:gridSpan w:val="6"/>
          </w:tcPr>
          <w:p>
            <w:pPr>
              <w:ind w:left="8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17"/>
        </w:trPr>
        <w:tc>
          <w:tcPr>
            <w:tcW w:w="2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6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right"/>
              <w:ind w:right="556"/>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right"/>
              <w:ind w:right="538"/>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right"/>
              <w:ind w:right="557"/>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00" w:type="dxa"/>
            <w:vAlign w:val="bottom"/>
          </w:tcPr>
          <w:p>
            <w:pPr>
              <w:spacing w:after="0"/>
              <w:rPr>
                <w:sz w:val="10"/>
                <w:szCs w:val="10"/>
                <w:color w:val="auto"/>
              </w:rPr>
            </w:pPr>
          </w:p>
        </w:tc>
      </w:tr>
      <w:tr>
        <w:trPr>
          <w:trHeight w:val="173"/>
        </w:trPr>
        <w:tc>
          <w:tcPr>
            <w:tcW w:w="2300" w:type="dxa"/>
            <w:vAlign w:val="bottom"/>
          </w:tcPr>
          <w:p>
            <w:pPr>
              <w:spacing w:after="0"/>
              <w:rPr>
                <w:sz w:val="15"/>
                <w:szCs w:val="15"/>
                <w:color w:val="auto"/>
              </w:rPr>
            </w:pPr>
          </w:p>
        </w:tc>
        <w:tc>
          <w:tcPr>
            <w:tcW w:w="1740" w:type="dxa"/>
            <w:vAlign w:val="bottom"/>
            <w:gridSpan w:val="2"/>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80" w:type="dxa"/>
            <w:vAlign w:val="bottom"/>
          </w:tcPr>
          <w:p>
            <w:pPr>
              <w:jc w:val="right"/>
              <w:ind w:right="6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80" w:type="dxa"/>
            <w:vAlign w:val="bottom"/>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6"/>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740" w:type="dxa"/>
            <w:vAlign w:val="bottom"/>
            <w:gridSpan w:val="2"/>
            <w:shd w:val="clear" w:color="auto" w:fill="CFF0FC"/>
          </w:tcPr>
          <w:p>
            <w:pPr>
              <w:jc w:val="right"/>
              <w:ind w:right="111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17,343</w:t>
            </w:r>
          </w:p>
        </w:tc>
        <w:tc>
          <w:tcPr>
            <w:tcW w:w="88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17,123</w:t>
            </w:r>
          </w:p>
        </w:tc>
        <w:tc>
          <w:tcPr>
            <w:tcW w:w="6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34,662</w:t>
            </w:r>
          </w:p>
        </w:tc>
        <w:tc>
          <w:tcPr>
            <w:tcW w:w="6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34,159</w:t>
            </w:r>
          </w:p>
        </w:tc>
        <w:tc>
          <w:tcPr>
            <w:tcW w:w="100" w:type="dxa"/>
            <w:vAlign w:val="bottom"/>
            <w:shd w:val="clear" w:color="auto" w:fill="CFF0FC"/>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12,357</w:t>
            </w:r>
          </w:p>
        </w:tc>
        <w:tc>
          <w:tcPr>
            <w:tcW w:w="100" w:type="dxa"/>
            <w:vAlign w:val="bottom"/>
          </w:tcPr>
          <w:p>
            <w:pPr>
              <w:spacing w:after="0"/>
              <w:rPr>
                <w:sz w:val="18"/>
                <w:szCs w:val="18"/>
                <w:color w:val="auto"/>
              </w:rPr>
            </w:pPr>
          </w:p>
        </w:tc>
      </w:tr>
      <w:tr>
        <w:trPr>
          <w:trHeight w:val="216"/>
        </w:trPr>
        <w:tc>
          <w:tcPr>
            <w:tcW w:w="2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48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lease expense</w:t>
            </w:r>
          </w:p>
        </w:tc>
        <w:tc>
          <w:tcPr>
            <w:tcW w:w="1740" w:type="dxa"/>
            <w:vAlign w:val="bottom"/>
            <w:gridSpan w:val="2"/>
          </w:tcPr>
          <w:p>
            <w:pPr>
              <w:jc w:val="right"/>
              <w:ind w:right="111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23,483</w:t>
            </w:r>
          </w:p>
        </w:tc>
        <w:tc>
          <w:tcPr>
            <w:tcW w:w="8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23,352</w:t>
            </w:r>
          </w:p>
        </w:tc>
        <w:tc>
          <w:tcPr>
            <w:tcW w:w="6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47,460</w:t>
            </w:r>
          </w:p>
        </w:tc>
        <w:tc>
          <w:tcPr>
            <w:tcW w:w="6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46,750</w:t>
            </w:r>
          </w:p>
        </w:tc>
        <w:tc>
          <w:tcPr>
            <w:tcW w:w="100" w:type="dxa"/>
            <w:vAlign w:val="bottom"/>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44"/>
        </w:trPr>
        <w:tc>
          <w:tcPr>
            <w:tcW w:w="2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jc w:val="right"/>
              <w:ind w:right="1036"/>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2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-1216660</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-1216660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-1216660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ASC 842, other information related to leases was as follows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60" w:type="dxa"/>
            <w:vAlign w:val="bottom"/>
            <w:gridSpan w:val="11"/>
          </w:tcPr>
          <w:p>
            <w:pPr>
              <w:ind w:left="7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17"/>
        </w:trPr>
        <w:tc>
          <w:tcPr>
            <w:tcW w:w="69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gridSpan w:val="5"/>
          </w:tcPr>
          <w:p>
            <w:pPr>
              <w:ind w:left="34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3"/>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9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5"/>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36,532</w:t>
            </w: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37,226</w:t>
            </w:r>
          </w:p>
        </w:tc>
        <w:tc>
          <w:tcPr>
            <w:tcW w:w="0" w:type="dxa"/>
            <w:vAlign w:val="bottom"/>
          </w:tcPr>
          <w:p>
            <w:pPr>
              <w:spacing w:after="0"/>
              <w:rPr>
                <w:sz w:val="1"/>
                <w:szCs w:val="1"/>
                <w:color w:val="auto"/>
              </w:rPr>
            </w:pPr>
          </w:p>
        </w:tc>
      </w:tr>
      <w:tr>
        <w:trPr>
          <w:trHeight w:val="340"/>
        </w:trPr>
        <w:tc>
          <w:tcPr>
            <w:tcW w:w="6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As of August 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of August 3,</w:t>
            </w:r>
          </w:p>
        </w:tc>
        <w:tc>
          <w:tcPr>
            <w:tcW w:w="0" w:type="dxa"/>
            <w:vAlign w:val="bottom"/>
          </w:tcPr>
          <w:p>
            <w:pPr>
              <w:spacing w:after="0"/>
              <w:rPr>
                <w:sz w:val="1"/>
                <w:szCs w:val="1"/>
                <w:color w:val="auto"/>
              </w:rPr>
            </w:pPr>
          </w:p>
        </w:tc>
      </w:tr>
      <w:tr>
        <w:trPr>
          <w:trHeight w:val="173"/>
        </w:trPr>
        <w:tc>
          <w:tcPr>
            <w:tcW w:w="6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9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Noncash change in operating lease right-of-use asset and operating lease liabilities from</w:t>
            </w: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remeasurement of existing leases and addition of new leases</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(3,961)</w:t>
            </w:r>
          </w:p>
        </w:tc>
        <w:tc>
          <w:tcPr>
            <w:tcW w:w="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12,681</w:t>
            </w: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Terminated right-of-use assets and liabilities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6.17</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7.34%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454"/>
        </w:trPr>
        <w:tc>
          <w:tcPr>
            <w:tcW w:w="7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 accordance with ASC 842, maturities of operating lease liabilities as of August 2, 2025 were as follows:</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698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(remainder)</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gridSpan w:val="5"/>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37,577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75,434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68,808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54,047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153,822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Undiscounted cash flows</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gridSpan w:val="5"/>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452,912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Reconciliation of lease liabilities:</w:t>
            </w:r>
          </w:p>
        </w:tc>
        <w:tc>
          <w:tcPr>
            <w:tcW w:w="6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Present values</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gridSpan w:val="5"/>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355,547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6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303,284</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 total</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355,547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Difference between undiscounted and discounted cash flows</w:t>
            </w: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40" w:type="dxa"/>
            <w:vAlign w:val="bottom"/>
            <w:gridSpan w:val="5"/>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gridSpan w:val="3"/>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97,365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-307975</wp:posOffset>
            </wp:positionV>
            <wp:extent cx="774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Segments</w:t>
      </w:r>
    </w:p>
    <w:p>
      <w:pPr>
        <w:spacing w:after="0" w:line="33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has one reportable segment, Sportsman’s Warehouse, which operates solely as a sporting goods retailer, including both retail stores and an e-commerce platform. The single operating segment derives revenues from customers purchasing goods from both the Company’s retail stores and its e-commerce platform.</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CODM assesses performance for the single operating segment and decides how to allocate resources based on net income (loss) that also is reported on the condensed consolidated statement of operations.</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on the condensed consolidated balance sheet as total consolidated assets. Asset information is not presented here because its presentation here would be duplicative of the condensed consolidated balance sheets.</w:t>
      </w:r>
    </w:p>
    <w:p>
      <w:pPr>
        <w:spacing w:after="0" w:line="54"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Net income is used in monitoring budget versus actual results. The CODM also uses net income (loss) in competitive analysis by benchmarking to the Company’s competitors. The competitive analysis along with the monitoring of budgeted versus actual results are used in assessing performance of the segment and in establishing management’s compensation.</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single reportable segment revenue, segment profit or loss, and significant segment expenses are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100" w:type="dxa"/>
            <w:vAlign w:val="bottom"/>
          </w:tcPr>
          <w:p>
            <w:pPr>
              <w:spacing w:after="0"/>
              <w:rPr>
                <w:sz w:val="15"/>
                <w:szCs w:val="15"/>
                <w:color w:val="auto"/>
              </w:rPr>
            </w:pPr>
          </w:p>
        </w:tc>
      </w:tr>
      <w:tr>
        <w:trPr>
          <w:trHeight w:val="227"/>
        </w:trPr>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20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20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August 3,</w:t>
            </w:r>
          </w:p>
        </w:tc>
      </w:tr>
      <w:tr>
        <w:trPr>
          <w:trHeight w:val="186"/>
        </w:trPr>
        <w:tc>
          <w:tcPr>
            <w:tcW w:w="5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293,899</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288,734</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543,002</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532,974</w:t>
            </w:r>
          </w:p>
        </w:tc>
        <w:tc>
          <w:tcPr>
            <w:tcW w:w="100" w:type="dxa"/>
            <w:vAlign w:val="bottom"/>
            <w:shd w:val="clear" w:color="auto" w:fill="CFF0FC"/>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199,950</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373,410</w:t>
            </w: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369,170</w:t>
            </w:r>
          </w:p>
        </w:tc>
        <w:tc>
          <w:tcPr>
            <w:tcW w:w="100" w:type="dxa"/>
            <w:vAlign w:val="bottom"/>
          </w:tcPr>
          <w:p>
            <w:pPr>
              <w:spacing w:after="0"/>
              <w:rPr>
                <w:sz w:val="18"/>
                <w:szCs w:val="18"/>
                <w:color w:val="auto"/>
              </w:rPr>
            </w:pPr>
          </w:p>
        </w:tc>
      </w:tr>
      <w:tr>
        <w:trPr>
          <w:trHeight w:val="210"/>
        </w:trPr>
        <w:tc>
          <w:tcPr>
            <w:tcW w:w="52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93,949</w:t>
            </w:r>
          </w:p>
        </w:tc>
        <w:tc>
          <w:tcPr>
            <w:tcW w:w="3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90,018</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169,592</w:t>
            </w:r>
          </w:p>
        </w:tc>
        <w:tc>
          <w:tcPr>
            <w:tcW w:w="3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425"/>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Payroll</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41,490</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39,637</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84,058</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79,850</w:t>
            </w:r>
          </w:p>
        </w:tc>
        <w:tc>
          <w:tcPr>
            <w:tcW w:w="100" w:type="dxa"/>
            <w:vAlign w:val="bottom"/>
            <w:shd w:val="clear" w:color="auto" w:fill="CFF0FC"/>
          </w:tcPr>
          <w:p>
            <w:pPr>
              <w:spacing w:after="0"/>
              <w:rPr>
                <w:sz w:val="18"/>
                <w:szCs w:val="18"/>
                <w:color w:val="auto"/>
              </w:rPr>
            </w:pPr>
          </w:p>
        </w:tc>
      </w:tr>
      <w:tr>
        <w:trPr>
          <w:trHeight w:val="216"/>
        </w:trPr>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Rent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46,750</w:t>
            </w:r>
          </w:p>
        </w:tc>
        <w:tc>
          <w:tcPr>
            <w:tcW w:w="100" w:type="dxa"/>
            <w:vAlign w:val="bottom"/>
          </w:tcPr>
          <w:p>
            <w:pPr>
              <w:spacing w:after="0"/>
              <w:rPr>
                <w:sz w:val="18"/>
                <w:szCs w:val="18"/>
                <w:color w:val="auto"/>
              </w:rPr>
            </w:pPr>
          </w:p>
        </w:tc>
      </w:tr>
      <w:tr>
        <w:trPr>
          <w:trHeight w:val="216"/>
        </w:trPr>
        <w:tc>
          <w:tcPr>
            <w:tcW w:w="5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19,782</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20,552</w:t>
            </w:r>
          </w:p>
        </w:tc>
        <w:tc>
          <w:tcPr>
            <w:tcW w:w="100" w:type="dxa"/>
            <w:vAlign w:val="bottom"/>
            <w:shd w:val="clear" w:color="auto" w:fill="CFF0FC"/>
          </w:tcPr>
          <w:p>
            <w:pPr>
              <w:spacing w:after="0"/>
              <w:rPr>
                <w:sz w:val="18"/>
                <w:szCs w:val="18"/>
                <w:color w:val="auto"/>
              </w:rPr>
            </w:pPr>
          </w:p>
        </w:tc>
      </w:tr>
      <w:tr>
        <w:trPr>
          <w:trHeight w:val="216"/>
        </w:trPr>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Nonrecurring operating expenses (1)</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18"/>
                <w:szCs w:val="18"/>
                <w:color w:val="auto"/>
              </w:rPr>
            </w:pPr>
          </w:p>
        </w:tc>
      </w:tr>
      <w:tr>
        <w:trPr>
          <w:trHeight w:val="216"/>
        </w:trPr>
        <w:tc>
          <w:tcPr>
            <w:tcW w:w="5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Pre-opening (2)</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operating (3)</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21,491</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40,330</w:t>
            </w: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40,847</w:t>
            </w:r>
          </w:p>
        </w:tc>
        <w:tc>
          <w:tcPr>
            <w:tcW w:w="100" w:type="dxa"/>
            <w:vAlign w:val="bottom"/>
          </w:tcPr>
          <w:p>
            <w:pPr>
              <w:spacing w:after="0"/>
              <w:rPr>
                <w:sz w:val="18"/>
                <w:szCs w:val="18"/>
                <w:color w:val="auto"/>
              </w:rPr>
            </w:pPr>
          </w:p>
        </w:tc>
      </w:tr>
      <w:tr>
        <w:trPr>
          <w:trHeight w:val="210"/>
        </w:trPr>
        <w:tc>
          <w:tcPr>
            <w:tcW w:w="5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97,166</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94,341</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192,422</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188,754</w:t>
            </w:r>
          </w:p>
        </w:tc>
        <w:tc>
          <w:tcPr>
            <w:tcW w:w="100" w:type="dxa"/>
            <w:vAlign w:val="bottom"/>
            <w:shd w:val="clear" w:color="auto" w:fill="CFF0FC"/>
          </w:tcPr>
          <w:p>
            <w:pPr>
              <w:spacing w:after="0"/>
              <w:rPr>
                <w:sz w:val="18"/>
                <w:szCs w:val="18"/>
                <w:color w:val="auto"/>
              </w:rPr>
            </w:pPr>
          </w:p>
        </w:tc>
      </w:tr>
      <w:tr>
        <w:trPr>
          <w:trHeight w:val="216"/>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(3,217)</w:t>
            </w:r>
          </w:p>
        </w:tc>
        <w:tc>
          <w:tcPr>
            <w:tcW w:w="2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(4,323)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(22,830)</w:t>
            </w:r>
          </w:p>
        </w:tc>
        <w:tc>
          <w:tcPr>
            <w:tcW w:w="2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(24,950)</w:t>
            </w: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losses</w:t>
            </w:r>
          </w:p>
        </w:tc>
        <w:tc>
          <w:tcPr>
            <w:tcW w:w="20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8"/>
                <w:szCs w:val="18"/>
                <w:color w:val="auto"/>
              </w:rPr>
            </w:pPr>
          </w:p>
        </w:tc>
      </w:tr>
      <w:tr>
        <w:trPr>
          <w:trHeight w:val="216"/>
        </w:trPr>
        <w:tc>
          <w:tcPr>
            <w:tcW w:w="52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3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6,664</w:t>
            </w:r>
          </w:p>
        </w:tc>
        <w:tc>
          <w:tcPr>
            <w:tcW w:w="3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(6,986)</w:t>
            </w:r>
          </w:p>
        </w:tc>
        <w:tc>
          <w:tcPr>
            <w:tcW w:w="2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(7,963)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(29,570)</w:t>
            </w:r>
          </w:p>
        </w:tc>
        <w:tc>
          <w:tcPr>
            <w:tcW w:w="2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(31,498)</w:t>
            </w: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(2,057)</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(1,233)</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(7,526)</w:t>
            </w:r>
          </w:p>
        </w:tc>
      </w:tr>
      <w:tr>
        <w:trPr>
          <w:trHeight w:val="20"/>
        </w:trPr>
        <w:tc>
          <w:tcPr>
            <w:tcW w:w="5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Consolidated net (loss) income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(7,083)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(5,906)</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(28,337)</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(23,972)</w:t>
            </w:r>
          </w:p>
        </w:tc>
      </w:tr>
      <w:tr>
        <w:trPr>
          <w:trHeight w:val="20"/>
        </w:trPr>
        <w:tc>
          <w:tcPr>
            <w:tcW w:w="5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-2253615</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-2253615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-2253615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-453390</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-453390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-453390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-170815</wp:posOffset>
            </wp:positionV>
            <wp:extent cx="774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-170815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100" w:hanging="512"/>
        <w:spacing w:after="0" w:line="261"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certain expenses the Company believes fall outside of typical costs related to normal operating conditions including executive transition costs.</w:t>
      </w: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incurred due to the opening of new store locations.</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expenses in Other operating, include: marketing, credit card fees, utilities, insurance, software support, consulting and legal.</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 as of August 2, 2025 and February 1,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73"/>
        </w:trPr>
        <w:tc>
          <w:tcPr>
            <w:tcW w:w="5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w:t>
            </w:r>
          </w:p>
        </w:tc>
        <w:tc>
          <w:tcPr>
            <w:tcW w:w="2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45,000</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Less discount</w:t>
            </w:r>
          </w:p>
        </w:tc>
        <w:tc>
          <w:tcPr>
            <w:tcW w:w="2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(933)</w:t>
            </w:r>
          </w:p>
        </w:tc>
      </w:tr>
      <w:tr>
        <w:trPr>
          <w:trHeight w:val="20"/>
        </w:trPr>
        <w:tc>
          <w:tcPr>
            <w:tcW w:w="5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120" w:type="dxa"/>
            <w:vAlign w:val="bottom"/>
            <w:shd w:val="clear" w:color="auto" w:fill="CFF0FC"/>
          </w:tcPr>
          <w:p>
            <w:pPr>
              <w:spacing w:after="0"/>
              <w:rPr>
                <w:sz w:val="18"/>
                <w:szCs w:val="18"/>
                <w:color w:val="auto"/>
              </w:rPr>
            </w:pPr>
          </w:p>
        </w:tc>
        <w:tc>
          <w:tcPr>
            <w:tcW w:w="2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43,851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24,067</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net of discount</w:t>
            </w:r>
          </w:p>
        </w:tc>
        <w:tc>
          <w:tcPr>
            <w:tcW w:w="2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2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43,851</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24,067</w:t>
            </w: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25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Loan</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July 30, 2024, Sportsman’s Warehouse, Inc. (“SWI”) a wholly owned subsidiary of Holdings, as lead borrower, Holdings, as guarantor, and other subsidiaries of Holdings, each as borrowers, and PLC Agent LLC (the “Pathlight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Agent”), as administrative and collateral agent for various lenders affiliated with Pathlight Capital (the “ABL Lenders”), entered into an ABL Term Loan Credit Agreement (as amended, the “Term Loan Agreement”) that governs the Company’s term loan (the “Term Loan”). The Term Loan provides for a senior secured term loan credit facility in an aggregate principal amount of $45,000, consisting of $25,000 in an initial ABL term loan and $20,000 in a delayed draw ABL term loan that were made by the ABL Lenders on July 30, 2024 and July 30, 2025, respectively. The $45,000 in proceeds from the initial ABL term loan and delayed draw ABL term loan were used to repay obligations under the Revolving Line of Credit described in Note 9.</w:t>
      </w:r>
    </w:p>
    <w:p>
      <w:pPr>
        <w:spacing w:after="0" w:line="18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incurred deferred financing costs and discounts related to the initial draw on the Term Loan of approximately $1,136. The Company incurred additional deferred financing costs and discounts related to the delayed draw on the Term Loan of approximately $400. These costs offset the recorded carrying amount of the Term Loan on the condensed consolidated balance sheet and are amortized to interest expense over the life of the Term Loan. As of August 2, 2025 and February 1, 2025, the Company had $45,000 and $25,000, respectively, in outstanding loans under the Term Loan. As of August 2, 2025, the Company did not have any remaining amount available for borrowing under the Term Loan.</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Term Loan has a stated maturity date of the earlier of July 30, 2029 or the maturity date of the Revolving Line of Credit (described below). Borrowings under the Term Loan bear interest at a rate equal to the greater of a floor rate of 3.0% or (i) a specified term secured overnight financing rate (SOFR), plus (ii) 0.10% as a SOFR adjustment, plus (iii) the applicable margin as specified in the Term Loan. The applicable margin means either 3.50% or 6.50% depending on the type of term loan. Under the Term Loan, loans may be required to be converted to base rate loans and in such case, the applicable margin rate will increase by 1.0%. The interest rate on the amounts outstanding under the Term Loan as of August 2, 2025 was 10.44%.</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Subject to specified exceptions, SWI and the other borrowers may be required to make mandatory prepayments under the Term Loan in the event of certain dispositions of certain property or assets, in the event of receipt of certain tax refunds,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1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addition, the Term Loan contains customary affirmative and negative covenants, including covenants that limit the ability of the Company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Term Loan also requires the Company to maintain a minimum availability at all times under its Revolving Line of Credit of not less than the greater of $30,000 and 10% of the gross borrowing base as defined in the Revolving Line of Credit Agreement and contains customary events of default, including defaults triggered by defaults under the Revolving Line of Credit. See Note 9 for information on the Revolving Line of Credit.</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Each of the subsidiaries of Holdings is a borrower under the Term Loan, and all obligations under the Term Loan are guaranteed by Holdings. All of the obligations under the Term Loan are secured by a lien on substantially all of Holdings’ assets and the assets of all of Holdings’ subsidiaries, including a pledge of all capital stock of each of Holdings’ subsidiaries. The lien securing the obligations under the Term Loan is a first priority lien as to equipment, fixtures, intellectual property and equity interests.</w:t>
      </w:r>
    </w:p>
    <w:p>
      <w:pPr>
        <w:spacing w:after="0" w:line="99"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As of August 2, 2025 and February 1, 2025, the Company had $1,149 and $933, respectively, in outstanding deferred financing fees and discounts related to the Term Loan. During the 13 and 26 weeks ended August 2, 2025, the Company recognized $106 and $208, respectively, of non-cash interest expense with regard to the amortization of deferred financing fees and discounts related to the Term Loan. During the 13 and 26 weeks ended August 3, 2024, the Company recognized $4 and $4, respectively of non-cash interest expense with regard to the amortization of deferred financing fees and discounts related to the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minimum payments on outstanding long-term debt were as follows as of August 2,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Minimum Payments</w:t>
            </w:r>
          </w:p>
        </w:tc>
        <w:tc>
          <w:tcPr>
            <w:tcW w:w="100" w:type="dxa"/>
            <w:vAlign w:val="bottom"/>
          </w:tcPr>
          <w:p>
            <w:pPr>
              <w:spacing w:after="0"/>
              <w:rPr>
                <w:sz w:val="15"/>
                <w:szCs w:val="15"/>
                <w:color w:val="auto"/>
              </w:rPr>
            </w:pPr>
          </w:p>
        </w:tc>
      </w:tr>
      <w:tr>
        <w:trPr>
          <w:trHeight w:val="210"/>
        </w:trPr>
        <w:tc>
          <w:tcPr>
            <w:tcW w:w="8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(remainder)</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Pr>
          <w:p>
            <w:pPr>
              <w:spacing w:after="0"/>
              <w:rPr>
                <w:sz w:val="18"/>
                <w:szCs w:val="18"/>
                <w:color w:val="auto"/>
              </w:rPr>
            </w:pPr>
          </w:p>
        </w:tc>
      </w:tr>
      <w:tr>
        <w:trPr>
          <w:trHeight w:val="20"/>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Revolving Line of Credit</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SWI, as lead borrower, Holdings, and other subsidiaries of Holdings, each as borrowers, and Wells Fargo Bank, National Association (“Wells Fargo”), as administrative agent, collateral agent, swing line lender, letter of credit issuer and lender, with a consortium of banks led by Wells Fargo, entered into a Second Amendment to Amended and Restated Credit Agreement (the “Second Amendment”). Through the Second Amendment, the parties agreed to amend the Amended and Restated Credit Agreement, dated as of May 23, 2018, as previously amended May 17, 2022 by and among SWI, as lead borrower, and Wells Fargo, as agent and a lender, and the other parties listed on the signature pages thereto (as amended, including by the Second Amendment, the “Revolving Line of Credit Agreement”) that governs the Company's revolving line of credit (the “Revolving Line of Credit”).</w:t>
      </w:r>
    </w:p>
    <w:p>
      <w:pPr>
        <w:spacing w:after="0" w:line="18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did not incur any additional fees related to the Revolving Line of Credit and will continue to amortize the prior recorded fees of $508 paid to various parties which were capitalized in association with the May 17, 2022 amendment. Fees associated with the Revolving Line of Credit were recorded in prepaid expenses and other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2, 2025 and February 1, 2025, the Company had $167,413 and $88,260, respectively, in outstanding revolving loans under the Revolving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Line of Credit. Amounts outstanding are offset on the condensed consolidated balance sheets by amounts in depository accounts under lock-box type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arrangements, which were $16,198 and $13,654 as of August 2, 2025 and February 1, 2025, respectively. As of August 2, 2025, the Company had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$107,741 available for borrowing under the Revolving Line of Credit, calculated based upon certain borrowing base restrictions and stand-by commercial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letters of credit of $2,737 under the terms of the Revolving Line of Credit.</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Borrowings under the Revolving Line of Credit bear interest based on either the base rate or Term SOFR (as defined in the Revolving Line of Credit Agreement), at the Company’s option, in each case plus an applicable margin. The base rate is the greatest of (1) the floor rate (as defined in the Revolving Line of Credit Agreement as a rate of interest equal to 0.0%) (2) Wells Fargo’s prime rate, (3) the federal funds rate (as defined in the Revolving Line of Credit Agreement) plus 0.50% or (4) the one-month Term SOFR (as defined in the Revolving Line of Credit) plus 1.00%. The applicable margin for loans under the Revolving Line of Credit, which varies based on the average daily availability, ranges from 0.25% to 0.50% per year for base rate loans and from 1.35% to 1.60% per year for Term SOFR loans. The Company is required to pay a commitment fee for the unused portion of the Revolving Line of Credit, which will range from 0.20% to 0.225% per annum, depending on the average daily availability under the Revolving Line of Credit. The interest rate on the amounts outstanding under the Revolving Line of Credit as of August 2, 2025 and February 1, 2025 was 5.78% and 5.74%, respectively.</w:t>
      </w:r>
    </w:p>
    <w:p>
      <w:pPr>
        <w:spacing w:after="0" w:line="19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may be required to make mandatory prepayments under the Revolving Line of Credit in the event of a disposition of certain property or assets, in the event of receipt of certain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Revolving Line of Credit Agreement contains customary affirmative and negative covenants, including covenants that limit the Company’s ability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Revolving Line of Credit Agreement also requires the Company to maintain a minimum availability at all times under its Revolving Line of Credit of not less than the greater of $30,000 and 10% of the gross borrowing base as defined in the Revolving Line of Credit and contains customary events of default, including defaults triggered by defaults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under the Term Loan. As of August 2, 2025, the Company held approximately $447,903 in collateralized eligible inventory and credit card receivables related to the Term Loan and the Revolving Line of Credit. The Revolving Line of Credit matures on May 27, 2027.</w:t>
      </w:r>
    </w:p>
    <w:p>
      <w:pPr>
        <w:spacing w:after="0" w:line="162"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Each of the subsidiaries of Holdings is a borrower under the Revolving Line of Credit, and all obligations under the Revolving Line of Credit are guaranteed by Holdings. All of the obligations under the Revolving Line of Credit are secured by a lien on substantially all of Holdings’ tangible and intangible working capital assets and the tangible and intangible working capital assets of all of Holdings’ subsidiaries, including a pledge of all capital stock of each of Holdings’ subsidiaries. The lien securing the obligations under the Revolving Line of Credit is a first priority lien as to certain liquid assets, including cash, accounts receivable, deposit accounts and inventory.</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August 2, 2025 and February 1, 2025, the Company had $276 and $352, respectively, in outstanding deferred financing fees. During the 13 and 26 weeks ended August 2, 2025, the Company recognized $38 and $76, respectively, of non-cash interest expense with regard to the amortization of deferred financing fees. During the 13 and 26 weeks ended August 3, 2024, the Company recognized $38 and $76, respectively, of non-cash interest expense with regard to the amortization of deferred financing fees.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13 and 26 weeks ended August 2, 2025, gross borrowings under the Revolving Line of Credit were $351,274 and $691,412, respectively. During the 13 and 26 weeks ended August 3, 2024, gross borrowings under the Revolving Line of Credit were $307,762 and $615,477, respectively. During the 13 and 26 weeks ended August 2, 2025, gross paydowns under the Revolving Line of Credit were $342,162 and $617,082, respectively. During the 13 and 26 weeks ended August 3, 2024, gross paydowns under the Revolving Line of Credit were $342,581 and $612,175,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Net Assets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provisions of the Term Loan and the Revolving Line of Credit restrict all of the net assets of the Company’s consolidated subsidiaries, which constitute all of the net assets on the Company’s condensed consolidated balance sheet as of August 2, 2025, from being used to pay any dividends without prior written consent from the financial institutions party to the respective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the 13 and 26 weeks ended August 2, 2025, the Company recognized income tax expense of $97 and income tax benefit of $1,233, respectively. During the 13 and 26 weeks ended August 3, 2024, the Company recognized income tax benefit of $2,057 and $7,526, respectively. The Company's effective tax rate during the 13 and 26 weeks ended August 2, 2025 was -1.4% and 4.2%, respectively. The Company’s effective tax rate during the 13 and 26 weeks ended August 3, 2024 was 25.8% and 23.9%, respectively. The Company’s effective tax rate will generally differ from the U.S. Federal statutory rate of 21.0%, due to state taxes, permanent items, and discrete items relating to stock award deductions.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by the weighted-average number of shares of common stock outstanding during the period. Diluted earnings per share represents basic earnings per share adjusted to include the potentially dilutive effect of nonvested share awards and nonvested share unit awards.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40" w:type="dxa"/>
            <w:vAlign w:val="bottom"/>
            <w:gridSpan w:val="7"/>
          </w:tcPr>
          <w:p>
            <w:pPr>
              <w:ind w:left="4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00" w:type="dxa"/>
            <w:vAlign w:val="bottom"/>
          </w:tcPr>
          <w:p>
            <w:pPr>
              <w:spacing w:after="0"/>
              <w:rPr>
                <w:sz w:val="15"/>
                <w:szCs w:val="15"/>
                <w:color w:val="auto"/>
              </w:rPr>
            </w:pPr>
          </w:p>
        </w:tc>
        <w:tc>
          <w:tcPr>
            <w:tcW w:w="260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3"/>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255"/>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1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255"/>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(7,083)</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(5,906)</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(28,337)</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(23,972)</w:t>
            </w:r>
          </w:p>
        </w:tc>
        <w:tc>
          <w:tcPr>
            <w:tcW w:w="0" w:type="dxa"/>
            <w:vAlign w:val="bottom"/>
          </w:tcPr>
          <w:p>
            <w:pPr>
              <w:spacing w:after="0"/>
              <w:rPr>
                <w:sz w:val="1"/>
                <w:szCs w:val="1"/>
                <w:color w:val="auto"/>
              </w:rPr>
            </w:pPr>
          </w:p>
        </w:tc>
      </w:tr>
      <w:tr>
        <w:trPr>
          <w:trHeight w:val="197"/>
        </w:trPr>
        <w:tc>
          <w:tcPr>
            <w:tcW w:w="50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3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38,376</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37,751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38,260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Dilutive effect of common stock equivalents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38,376</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37,751</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38,260</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37,659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Basic loss per share</w:t>
            </w:r>
          </w:p>
        </w:tc>
        <w:tc>
          <w:tcPr>
            <w:tcW w:w="5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(0.18)</w:t>
            </w:r>
          </w:p>
        </w:tc>
        <w:tc>
          <w:tcPr>
            <w:tcW w:w="14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140" w:type="dxa"/>
            <w:vAlign w:val="bottom"/>
          </w:tcPr>
          <w:p>
            <w:pPr>
              <w:spacing w:after="0"/>
              <w:rPr>
                <w:sz w:val="17"/>
                <w:szCs w:val="17"/>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(0.74)</w:t>
            </w:r>
          </w:p>
        </w:tc>
        <w:tc>
          <w:tcPr>
            <w:tcW w:w="3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(0.64)</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 loss per share</w:t>
            </w:r>
          </w:p>
        </w:tc>
        <w:tc>
          <w:tcPr>
            <w:tcW w:w="52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(0.18)</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(0.74)</w:t>
            </w:r>
          </w:p>
        </w:tc>
        <w:tc>
          <w:tcPr>
            <w:tcW w:w="34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(0.64)</w:t>
            </w:r>
          </w:p>
        </w:tc>
        <w:tc>
          <w:tcPr>
            <w:tcW w:w="0" w:type="dxa"/>
            <w:vAlign w:val="bottom"/>
          </w:tcPr>
          <w:p>
            <w:pPr>
              <w:spacing w:after="0"/>
              <w:rPr>
                <w:sz w:val="1"/>
                <w:szCs w:val="1"/>
                <w:color w:val="auto"/>
              </w:rPr>
            </w:pPr>
          </w:p>
        </w:tc>
      </w:tr>
      <w:tr>
        <w:trPr>
          <w:trHeight w:val="178"/>
        </w:trPr>
        <w:tc>
          <w:tcPr>
            <w:tcW w:w="508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Restricted stock units considered anti-dilutive and excluded in the</w:t>
            </w:r>
          </w:p>
        </w:tc>
        <w:tc>
          <w:tcPr>
            <w:tcW w:w="32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0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calculation</w:t>
            </w: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-1207770</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-1190625</wp:posOffset>
            </wp:positionV>
            <wp:extent cx="768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-1207770</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-1190625</wp:posOffset>
            </wp:positionV>
            <wp:extent cx="768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-1207770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-1190625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-624840</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-607695</wp:posOffset>
            </wp:positionV>
            <wp:extent cx="768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-624840</wp:posOffset>
            </wp:positionV>
            <wp:extent cx="768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-607695</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-624840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-607695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-299720</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-281940</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-299720</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-281940</wp:posOffset>
            </wp:positionV>
            <wp:extent cx="768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-299720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-281940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8780" w:firstLine="8"/>
        <w:spacing w:after="0" w:line="378" w:lineRule="auto"/>
        <w:tabs>
          <w:tab w:leader="none" w:pos="34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Stock-Based Compensation</w:t>
      </w:r>
    </w:p>
    <w:p>
      <w:pPr>
        <w:ind w:right="180"/>
        <w:spacing w:after="0" w:line="261" w:lineRule="auto"/>
        <w:rPr>
          <w:sz w:val="20"/>
          <w:szCs w:val="20"/>
          <w:color w:val="auto"/>
        </w:rPr>
      </w:pPr>
      <w:r>
        <w:rPr>
          <w:rFonts w:ascii="Times New Roman" w:cs="Times New Roman" w:eastAsia="Times New Roman" w:hAnsi="Times New Roman"/>
          <w:sz w:val="18"/>
          <w:szCs w:val="18"/>
          <w:color w:val="auto"/>
        </w:rPr>
        <w:t>During the 13 and 26 weeks ended August 2, 2025, the Company recognized total stock-based compensation expense of $827 and $1,620, respectively. During the 13 and 26 weeks ended August 3, 2024, the Company recognized total stock-based compensation expense of $1,217 and $2,391, respectively. Compensation expense related to the Company’s stock-based payment awards is recognized in selling, general, and administrative expenses in the condensed consolidated statements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Plan</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of August 2, 2025, the number of shares available for awards under the Amended and Restated 2019 Performance Incentive Plan (as amended and restated, the “Amended 2019 Plan”) was 1,653. As of August 2, 2025, there were 2,243 unvested stock awards outstanding under the 2019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also maintains an Amended and Restated Employee Stock Purchase Plan (the “ESPP”) that was approved by the Company’s stockholders in fiscal year 2015, under which 1,600 shares of common stock were authorized. During the 13 weeks ended August 2, 2025, 43 shares were issued under the ESPP and, as of August 2, 2025, the number of shares available for issuance was 728.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Nonvested Performance-Based Stock Awards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13 and 26 weeks ended August 2, 2025, the Company did not issue any nonvested performance-based stock awards to employees.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13 weeks ended August 3, 2024, the Company did not issue any nonvested performance-based stock awards to employees. During the 26 weeks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August 3, 2024, the Company issued 874 nonvested performance-based stock awards to employees at a weighted average grant date fair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$3.09 per share. The nonvested performance-based stock awards issued to employees vest in full on the third anniversary of the grant date. The number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issued was contingent on management achieving a fiscal year 2024 performance target for earnings before interest, taxes, depreciation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expenses. If a minimum threshold performance target is not achieved, no shares would vest. The maximum number of shares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 was 874. Following the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 of the performance period for fiscal year 2024, the fiscal year performance targets were not met and all shares were forfeited as of February 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rollforward of outstanding nonvested performance-based stock awards (per share amounts are not in thousands):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3020" w:type="dxa"/>
            <w:vAlign w:val="bottom"/>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3020" w:type="dxa"/>
            <w:vAlign w:val="bottom"/>
            <w:tcBorders>
              <w:bottom w:val="single" w:sz="8" w:color="auto"/>
            </w:tcBorders>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February 1, 2025</w:t>
            </w:r>
          </w:p>
        </w:tc>
        <w:tc>
          <w:tcPr>
            <w:tcW w:w="34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12</w:t>
            </w:r>
          </w:p>
        </w:tc>
        <w:tc>
          <w:tcPr>
            <w:tcW w:w="680" w:type="dxa"/>
            <w:vAlign w:val="bottom"/>
            <w:shd w:val="clear" w:color="auto" w:fill="CFF0FC"/>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Grants</w:t>
            </w:r>
          </w:p>
        </w:tc>
        <w:tc>
          <w:tcPr>
            <w:tcW w:w="3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Forfeitures</w:t>
            </w:r>
          </w:p>
        </w:tc>
        <w:tc>
          <w:tcPr>
            <w:tcW w:w="34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spacing w:after="0"/>
              <w:rPr>
                <w:sz w:val="18"/>
                <w:szCs w:val="18"/>
                <w:color w:val="auto"/>
              </w:rPr>
            </w:pPr>
          </w:p>
        </w:tc>
        <w:tc>
          <w:tcPr>
            <w:tcW w:w="46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3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August 2, 2025</w:t>
            </w:r>
          </w:p>
        </w:tc>
        <w:tc>
          <w:tcPr>
            <w:tcW w:w="34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12</w:t>
            </w:r>
          </w:p>
        </w:tc>
        <w:tc>
          <w:tcPr>
            <w:tcW w:w="680" w:type="dxa"/>
            <w:vAlign w:val="bottom"/>
            <w:shd w:val="clear" w:color="auto" w:fill="CFF0FC"/>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right w:val="single" w:sz="8" w:color="CFF0FC"/>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320"/>
        </w:trPr>
        <w:tc>
          <w:tcPr>
            <w:tcW w:w="4700" w:type="dxa"/>
            <w:vAlign w:val="bottom"/>
            <w:tcBorders>
              <w:top w:val="single" w:sz="8" w:color="CFF0FC"/>
            </w:tcBorders>
          </w:tcPr>
          <w:p>
            <w:pPr>
              <w:spacing w:after="0"/>
              <w:rPr>
                <w:sz w:val="24"/>
                <w:szCs w:val="24"/>
                <w:color w:val="auto"/>
              </w:rPr>
            </w:pPr>
          </w:p>
        </w:tc>
        <w:tc>
          <w:tcPr>
            <w:tcW w:w="3020" w:type="dxa"/>
            <w:vAlign w:val="bottom"/>
            <w:tcBorders>
              <w:top w:val="single" w:sz="8" w:color="auto"/>
            </w:tcBorders>
          </w:tcPr>
          <w:p>
            <w:pPr>
              <w:spacing w:after="0"/>
              <w:rPr>
                <w:sz w:val="24"/>
                <w:szCs w:val="24"/>
                <w:color w:val="auto"/>
              </w:rPr>
            </w:pPr>
          </w:p>
        </w:tc>
        <w:tc>
          <w:tcPr>
            <w:tcW w:w="460" w:type="dxa"/>
            <w:vAlign w:val="bottom"/>
            <w:tcBorders>
              <w:top w:val="single" w:sz="8" w:color="CFF0FC"/>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February 3, 2024</w:t>
            </w:r>
          </w:p>
        </w:tc>
        <w:tc>
          <w:tcPr>
            <w:tcW w:w="3020" w:type="dxa"/>
            <w:vAlign w:val="bottom"/>
            <w:tcBorders>
              <w:right w:val="single" w:sz="8" w:color="CFF0FC"/>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Grants</w:t>
            </w:r>
          </w:p>
        </w:tc>
        <w:tc>
          <w:tcPr>
            <w:tcW w:w="3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Forfeitures</w:t>
            </w:r>
          </w:p>
        </w:tc>
        <w:tc>
          <w:tcPr>
            <w:tcW w:w="3020" w:type="dxa"/>
            <w:vAlign w:val="bottom"/>
            <w:tcBorders>
              <w:right w:val="single" w:sz="8" w:color="CFF0FC"/>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30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August 3, 2024</w:t>
            </w:r>
          </w:p>
        </w:tc>
        <w:tc>
          <w:tcPr>
            <w:tcW w:w="3020" w:type="dxa"/>
            <w:vAlign w:val="bottom"/>
            <w:tcBorders>
              <w:right w:val="single" w:sz="8" w:color="CFF0FC"/>
            </w:tcBorders>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6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30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-1268095</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-1250950</wp:posOffset>
            </wp:positionV>
            <wp:extent cx="768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Nonvested Stock Unit Awards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13 and 26 weeks ended August 2, 2025, the Company issued 314 and 1,149 nonvested stock units to employees and directors at a weighted average grant date fair value of $1.96 and $1.28 per share, respectively. The shares issued to employees of the Company vest over a three-year period with one third of the shares vesting on each anniversary of the grant date. The shares issued to directors of the Company vest over a 12-month period with one-twelfth of the shares vesting each month.</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13 and 26 weeks ended August 3, 2024, the Company issued 267 and 1354 nonvested stock units to employees and directors at a weighted average grant date fair value of $3.18 and $3.12 per share, respectively. The shares issued to employees of the Company vest over a three-year period with one third of the shares vesting on each anniversary of the grant date. The shares issued to directors of the Company vest over a 12-month period with one-twelfth of the shares vesting each month.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rollforward of outstanding nonvested stock units (per share amounts are not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4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4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18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4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218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tcPr>
          <w:p>
            <w:pPr>
              <w:jc w:val="center"/>
              <w:ind w:right="53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February 1, 2025</w:t>
            </w:r>
          </w:p>
        </w:tc>
        <w:tc>
          <w:tcPr>
            <w:tcW w:w="130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1,700</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Grants</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1,149</w:t>
            </w:r>
          </w:p>
        </w:tc>
        <w:tc>
          <w:tcPr>
            <w:tcW w:w="620" w:type="dxa"/>
            <w:vAlign w:val="bottom"/>
          </w:tcPr>
          <w:p>
            <w:pPr>
              <w:spacing w:after="0"/>
              <w:rPr>
                <w:sz w:val="18"/>
                <w:szCs w:val="18"/>
                <w:color w:val="auto"/>
              </w:rPr>
            </w:pPr>
          </w:p>
        </w:tc>
        <w:tc>
          <w:tcPr>
            <w:tcW w:w="2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3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(34)</w:t>
            </w:r>
          </w:p>
        </w:tc>
        <w:tc>
          <w:tcPr>
            <w:tcW w:w="620" w:type="dxa"/>
            <w:vAlign w:val="bottom"/>
            <w:shd w:val="clear" w:color="auto" w:fill="CFF0FC"/>
          </w:tcPr>
          <w:p>
            <w:pPr>
              <w:spacing w:after="0"/>
              <w:rPr>
                <w:sz w:val="18"/>
                <w:szCs w:val="18"/>
                <w:color w:val="auto"/>
              </w:rPr>
            </w:pPr>
          </w:p>
        </w:tc>
        <w:tc>
          <w:tcPr>
            <w:tcW w:w="2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218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(584)</w:t>
            </w:r>
          </w:p>
        </w:tc>
        <w:tc>
          <w:tcPr>
            <w:tcW w:w="620" w:type="dxa"/>
            <w:vAlign w:val="bottom"/>
          </w:tcPr>
          <w:p>
            <w:pPr>
              <w:spacing w:after="0"/>
              <w:rPr>
                <w:sz w:val="18"/>
                <w:szCs w:val="18"/>
                <w:color w:val="auto"/>
              </w:rPr>
            </w:pPr>
          </w:p>
        </w:tc>
        <w:tc>
          <w:tcPr>
            <w:tcW w:w="2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August 2, 2025</w:t>
            </w:r>
          </w:p>
        </w:tc>
        <w:tc>
          <w:tcPr>
            <w:tcW w:w="21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2,231</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844"/>
        </w:trPr>
        <w:tc>
          <w:tcPr>
            <w:tcW w:w="4700" w:type="dxa"/>
            <w:vAlign w:val="bottom"/>
            <w:tcBorders>
              <w:top w:val="single" w:sz="8" w:color="CFF0FC"/>
            </w:tcBorders>
          </w:tcPr>
          <w:p>
            <w:pPr>
              <w:spacing w:after="0"/>
              <w:rPr>
                <w:sz w:val="24"/>
                <w:szCs w:val="24"/>
                <w:color w:val="auto"/>
              </w:rPr>
            </w:pPr>
          </w:p>
        </w:tc>
        <w:tc>
          <w:tcPr>
            <w:tcW w:w="2180" w:type="dxa"/>
            <w:vAlign w:val="bottom"/>
            <w:tcBorders>
              <w:top w:val="single" w:sz="8" w:color="auto"/>
            </w:tcBorders>
          </w:tcPr>
          <w:p>
            <w:pPr>
              <w:jc w:val="right"/>
              <w:ind w:right="1079"/>
              <w:spacing w:after="0"/>
              <w:rPr>
                <w:sz w:val="20"/>
                <w:szCs w:val="20"/>
                <w:color w:val="auto"/>
              </w:rPr>
            </w:pPr>
            <w:r>
              <w:rPr>
                <w:rFonts w:ascii="Times New Roman" w:cs="Times New Roman" w:eastAsia="Times New Roman" w:hAnsi="Times New Roman"/>
                <w:sz w:val="18"/>
                <w:szCs w:val="18"/>
                <w:color w:val="auto"/>
              </w:rPr>
              <w:t>20</w:t>
            </w:r>
          </w:p>
        </w:tc>
        <w:tc>
          <w:tcPr>
            <w:tcW w:w="840" w:type="dxa"/>
            <w:vAlign w:val="bottom"/>
            <w:tcBorders>
              <w:top w:val="single" w:sz="8" w:color="auto"/>
            </w:tcBorders>
          </w:tcPr>
          <w:p>
            <w:pPr>
              <w:spacing w:after="0"/>
              <w:rPr>
                <w:sz w:val="24"/>
                <w:szCs w:val="24"/>
                <w:color w:val="auto"/>
              </w:rPr>
            </w:pPr>
          </w:p>
        </w:tc>
        <w:tc>
          <w:tcPr>
            <w:tcW w:w="460" w:type="dxa"/>
            <w:vAlign w:val="bottom"/>
            <w:tcBorders>
              <w:top w:val="single" w:sz="8" w:color="CFF0FC"/>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-1070610</wp:posOffset>
            </wp:positionV>
            <wp:extent cx="7683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-1053465</wp:posOffset>
            </wp:positionV>
            <wp:extent cx="768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12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February 3, 2024</w:t>
            </w: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1,058</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Grants</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Forfeitures</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August 3, 2024</w:t>
            </w:r>
          </w:p>
        </w:tc>
        <w:tc>
          <w:tcPr>
            <w:tcW w:w="1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8340" w:firstLine="8"/>
        <w:spacing w:after="0" w:line="378" w:lineRule="auto"/>
        <w:tabs>
          <w:tab w:leader="none" w:pos="34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Matters</w:t>
      </w: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legal matters generally incidental to its business. After discussion with legal counsel, management is not aware of any matters for which the likelihood of a loss is probable and reasonably estimable and which could have a material impact on its consolidated financial condition, liquidity, or results of operations.</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On January 22, 2024, Jon Kogut filed a putative class action lawsuit against the Company and the members of its Board of Directors (the "Board") in the Delaware Court of Chancery (the “2024 Delaware Litigation”). The lawsuit asserts claims on behalf of a putative class comprised of all stockholders other than defendants and any current directors or officers of the Company and is captioned </w:t>
      </w:r>
      <w:r>
        <w:rPr>
          <w:rFonts w:ascii="Times New Roman" w:cs="Times New Roman" w:eastAsia="Times New Roman" w:hAnsi="Times New Roman"/>
          <w:sz w:val="18"/>
          <w:szCs w:val="18"/>
          <w:i w:val="1"/>
          <w:iCs w:val="1"/>
          <w:color w:val="auto"/>
        </w:rPr>
        <w:t>Kogut v. Bejar, et al.</w:t>
      </w:r>
      <w:r>
        <w:rPr>
          <w:rFonts w:ascii="Times New Roman" w:cs="Times New Roman" w:eastAsia="Times New Roman" w:hAnsi="Times New Roman"/>
          <w:sz w:val="18"/>
          <w:szCs w:val="18"/>
          <w:color w:val="auto"/>
        </w:rPr>
        <w:t>, C.A. No. 2024-0055-MTZ (Del. Ch.). In his complaint, Mr. Kogut contends that certain provisions in the Company’s advance notice bylaws (the “Challenged Provisions”) are invalid and void and that the members of the Board have breached their fiduciary duty of loyalty by adopting and maintaining the Challenged Provisions. In addition to seeking declaratory, equitable, and injunctive relief, Mr. Kogut seeks an award of attorneys’ fees and other costs and expenses on behalf of the putative class. On March 27, 2025, the Court stayed the action pending the resolution of motions to dismiss in other cases challenging advance notice bylaws.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August 4, 2025, the Board of Directors of the Company appointed Jennifer Fall Jung as the Company’s Chief Financial Officer and Secretary, effective as of August 18, 2025 (the “Start Date”). On August 4, 2025, the Company and Jeff White mutually agreed that Mr. White will cease to serve as Chief Financial Officer and Secretary of the Company and from all other positions he holds with the Company and each of its subsidiaries, effective as of August 17, 2025 (the “Separation Date”), and will transition to a consulting role with the Company from August 18, 2025 to September 9, 2025, unless such role is terminated earlier pursuant to the terms of Mr. White’s Separation Agreement (as defined below).</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connection with Mr. White’s separation, the Company and Mr. White entered into a Separation and Consulting Agreement on August 4, 2025 (the “Separation Agreement”). The Separation Agreement provides that Mr. White’s employment as Chief Financial Officer and Secretary of the Company will cease on the Separation Date and he will transition to a consulting role with the Company from August 18, 2025 to September 9, 2025, unless terminated earlier pursuant to the terms contained in the Separation Agreement (the “Consulting Period”). Subject to Mr. White satisfying certain conditions, including entering into an initial release of claims with the signing of the Separation Agreement and a supplemental release of claims to be executed upon the Separation Date and complying with the terms and conditions of the Separation Agreement and covenants therein, Mr. White will receive (i) payments equal to 12 months of Mr. White’s base salary, payable in equal installments on the Company’s regular payroll schedule over the 12 month period immediately following the Separation Date, (ii) payment of the premiums necessary for him and his eligible dependents to continue group health coverage under COBRA for up to 12 months, and (iii) payment of a pro-rated target annual bonus for the Company’s fiscal year ending January 31, 2026 on the next regularly scheduled payroll date after the Separation Date. All equity awards granted to Mr. White that are outstanding and unvested immediately prior to the Separation Date will cease vesting and be forfeited for no consideration on the Separation Date. Subject to Mr. White complying with his obligations during the Consulting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Period and entering into a supplemental release of claims upon the termination of the Consulting Period, Mr. White will be paid a retainer fee in an amount equal to $77.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The discussion below contains forward-looking statements that involve risks and uncertainties. Our actual results could differ materially from those anticipated in these forward-looking statements as a result of various factors, including those which are discussed in the “Risk Factors” section in Part I., Item 1A. of our Fiscal 2024 Form 10-K. Also see “Special Note Regarding Forward-Looking Statements” preceding Part I. of this 10-Q. Additionally, our historical results are not necessarily indicative of the results that may be expected or achieved for any future period.</w:t>
      </w:r>
    </w:p>
    <w:p>
      <w:pPr>
        <w:spacing w:after="0" w:line="180" w:lineRule="exact"/>
        <w:rPr>
          <w:sz w:val="20"/>
          <w:szCs w:val="20"/>
          <w:color w:val="auto"/>
        </w:rPr>
      </w:pPr>
    </w:p>
    <w:p>
      <w:pPr>
        <w:ind w:right="68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and is qualified in its entirety by reference to, the unaudited condensed consolidated financial statements and the notes thereto included in this 10-Q.</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We are an outdoor sporting goods retailer focused on meeting the everyday needs of the seasoned outdoor veteran, the first-time participant and everyone in between. Our mission is to provide outstanding gear and exceptional service to inspire outdoor memories.</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Our business was founded in 1986 as a single retail store in Midvale, Utah. Today, we operate 146 stores in 32 states, totaling approximately 5.4 million gross square feet. We also operate an e-commerce platform at www.sportsmans.com. We do not incorporate the information on or accessible through our website into this 10-Q, and you should not consider any information on, or that can be accessed through, our website as part of this 10-Q.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stores and our e-commerce platform are aggregated into one operating and reportable segment.</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Impact of Macroeconomic Conditions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financial results and operations have been, and will continue to be, impacted by events outside of our control. Global economic and business activities continue to face widespread macroeconomic uncertainties, including the impact of international trade policies and increased tariff rates, inflation, elevated interest rates, recession risks and rising global political tensions.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Recent changes in international trade policy and the implementation of increased tariff rates have caused substantial uncertainty with respect to our inventory cost. If some of the proposed and current changes to international trade and tariff policy are implemented or continue for a significant length of time, we will experience a material increase in our inventory costs, especially in our Hunting and Shooting and Optics, Electronics, Accessories and Other departments. We cannot predict the ultimate impact of such changes on our financial results for the remainder of fiscal year 2025 and beyond since such policies remain highly dynamic and evolving. In the first half of fiscal year 2025, we purchased additional inventory in anticipation of increased tariff rates to be prepared for the hunting and holiday seasons. We will continue to consider other means to mitigate the impact of increased tariff rates, including by seeking alternative sourcing of our products and by negotiating with our suppliers to absorb a portion of increased costs due to changes in tariff rates and trade policy; however, we cannot provide any assurances that we will be successful in such efforts.</w:t>
      </w:r>
    </w:p>
    <w:p>
      <w:pPr>
        <w:spacing w:after="0" w:line="19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addition, since the beginning of fiscal year 2023, our business has been and continues to be impacted by consumer inflationary pressures and recession concerns. As a result, we have implemented cost reduction measures and reduced investments in future new store openings to reflect current sales trends. We did not open any new stores in fiscal year 2024 and we plan to open one new store in fiscal year 2025.</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continue to actively monitor the impact of these macroeconomic factors on our financial condition, liquidity, operations, suppliers, industry and workforce. The extent of the impact of these factors on our operational and financial performance, including our ability to execute our business strategies and initiatives in the expected timeframe, will depend on future developments, and the impact on our customers, partners and outfitters, all of</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which are uncertain and cannot be predicted; however, any continued or renewed disruption resulting from these factors could negatively impact our business.</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229"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7"/>
          <w:szCs w:val="17"/>
          <w:color w:val="auto"/>
        </w:rPr>
        <w:t>In assessing the performance of our business, we consider a variety of performance and financial measures. The key measures for determining how our business is performing are net sales, same store sales, gross margin, selling, general and administrative expenses, income from operations and Adjusted EBITDA, which we define as net loss plus interest expense, income tax benefit, depreciation and amortization, stock-based compensation expense, transition and severance costs related to director and officer transitions, and expenses that we do not believe are indicative of our ongoing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 and Same Store Sales</w:t>
      </w:r>
    </w:p>
    <w:p>
      <w:pPr>
        <w:spacing w:after="0" w:line="135"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Our net sales are primarily received from revenue generated in our stores and also include sales generated through our e-commerce platform. When measuring revenue generated from our stores, we review our same store sales as well as the performance of our stores that have not operated for a sufficient amount of time and include each in same store sales. We include net sales from a store in same store sales on the first day of the 13</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full fiscal month following the store’s grand opening or acquisition by us. We exclude sales from stores that were closed during the period from our same store sales calculation. We include net sales from e-commerce in our calculation of same store sales. For fiscal years consisting of 53 weeks, we exclude net sales during the 53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 xml:space="preserve"> week from our calculation of same store sales. Some of our competitors and other retailers may calculate same store sales differently than we do. As a result, data regarding our same store sales may not be comparable to similar data made available by other retailers.</w:t>
      </w:r>
    </w:p>
    <w:p>
      <w:pPr>
        <w:spacing w:after="0" w:line="22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Measuring the change in year-over-year same store sales allows us to evaluate how our retail store base is performing. Various factors affect same store sales, including:</w:t>
      </w:r>
    </w:p>
    <w:p>
      <w:pPr>
        <w:spacing w:after="0" w:line="54" w:lineRule="exact"/>
        <w:rPr>
          <w:sz w:val="20"/>
          <w:szCs w:val="20"/>
          <w:color w:val="auto"/>
        </w:rPr>
      </w:pPr>
    </w:p>
    <w:p>
      <w:pPr>
        <w:ind w:left="1020" w:right="300" w:hanging="368"/>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 political trends, social unrest, inflationary pressures, recessionary trends, labor shortages, monetary supply shifts, elevated interest rates, tightening of credit markets, and potential disruptions from the ongoing Russia-Ukraine conflict and rising global political tensions;</w:t>
      </w:r>
    </w:p>
    <w:p>
      <w:pPr>
        <w:spacing w:after="0" w:line="6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buying trends and overall economic trends;</w:t>
      </w:r>
    </w:p>
    <w:p>
      <w:pPr>
        <w:spacing w:after="0" w:line="117" w:lineRule="exact"/>
        <w:rPr>
          <w:rFonts w:ascii="Times New Roman" w:cs="Times New Roman" w:eastAsia="Times New Roman" w:hAnsi="Times New Roman"/>
          <w:sz w:val="18"/>
          <w:szCs w:val="18"/>
          <w:color w:val="auto"/>
        </w:rPr>
      </w:pPr>
    </w:p>
    <w:p>
      <w:pPr>
        <w:ind w:left="1020" w:right="140" w:hanging="368"/>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anticipated changes to laws and government regulations related to some of the products we sell, in particular regulations relating to the sale of firearms and ammunition;</w:t>
      </w:r>
    </w:p>
    <w:p>
      <w:pPr>
        <w:spacing w:after="0" w:line="53"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respond effectively to local and regional trends and customer preferences;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quality customer service that will increase our conversion of shoppers into paying customers;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omni-channel strategy and our e-commerce platform;</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regional market of a store;</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atypical weather;</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introductions and changes in our product mix; and</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pricing and average ticket sales.</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operate in a complex regulatory and legal environment that could negatively impact the demand for our products, which could significantly affect our operations and financial results. State, local, and federal laws and regulations relating to products that we sell may change, sometimes significantly, as a result of political, economic or social events.</w:t>
      </w:r>
    </w:p>
    <w:p>
      <w:pPr>
        <w:spacing w:after="0" w:line="17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For instance, in November 2022, Oregon passed a ballot measure that amended Oregon law to prohibit private citizens from manufacturing, importing, possessing, using, purchasing, selling or transferring a magazine capable of holding (or being readily converted to hold) over ten rounds of ammunition. Additionally, this ballot measure also</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imposed complex permitting and training requirements for the purchase and sale of firearms. On December 6, 2022, a state Circuit Court judge in Oregon preliminarily enjoined the implementation of the ballot measure. On November 21, 2023, the Circuit Court judge permanently enjoined implementation of the ballot measure upon a determination that the ballot measure was facially unconstitutional under Oregon's state constitution. On March 12, 2025, the Oregon Court of Appeals reversed the state Circuit Court judge's permanent injunction, holding that the ballot measure was in fact facially constitutional under Oregon's state constitution. The Oregon Court of Appeals ordered the Circuit Court judge to enter a declaratory judgment consistent with the Court of Appeals’ decision.</w:t>
      </w:r>
    </w:p>
    <w:p>
      <w:pPr>
        <w:spacing w:after="0" w:line="12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plaintiffs filed a petition for review before the Oregon Supreme Court on April 14, 2025, preventing the Circuit Court judge from entering the declaratory judgment pending a decision of the Oregon Supreme Court on whether to grant the petition for review. On June 12, 2025, the Oregon Supreme Court granted the petition for review and the case is now in the process of being briefed by the parties to the litigation. Oral arguments in the case are scheduled for November 6, 2025, and we anticipate a decision in the case will be rendered by the Oregon Supreme Court in late 2026. The permanent injunction entered by the Circuit Court Judge will continue to remain in effect pending the decision of the Oregon Supreme Court in this case.</w:t>
      </w:r>
    </w:p>
    <w:p>
      <w:pPr>
        <w:spacing w:after="0" w:line="1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 parallel track, on July 24, 2025, the Governor of Oregon signed Oregon Senate Bill 243 into law. Among other things, this bill delayed the implementation date of the ballot measure until March 15, 2026. Accordingly, even if the Oregon Supreme Court upholds the Oregon Court of Appeals’ holding that the ballot measure is not facially unconstitutional between November 7, 2025 and March 14, 2026, the ballot measure will not be implemented prior to March 15, 2026. On the other hand, if the Oregon Supreme Court has not ruled on the matter by March 15, 2026, the Circuit Court judge’s permanent injunction of the ballot measure will continue to remain in effect and further delay implementation of the ballot measure indefinitely.</w:t>
      </w:r>
    </w:p>
    <w:p>
      <w:pPr>
        <w:spacing w:after="0" w:line="11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are aware that this ballot measure is also being challenged in a related case in federal court that is presently on appeal before the U.S. Court of Appeals for the Ninth Circuit. However, due to a ruling upholding a similar magazine capacity restriction case in California (Duncan, et al. v. Bonta, No. 23-55805 (9th Cir. 2023)), we believe it is unlikely that the Oregon ballot measure will be struck down by the U.S. Court of Appeals for the Ninth Circuit.</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currently operate eight stores in the State of Oregon. If the Oregon Supreme Court upholds the Oregon Court of Appeals March 12, 2025 order and the ballot measure is allowed to take effect on or after March 15, 2026 , sales of firearms in Oregon may be halted or substantially diminished unless all permitting and training programs are fully developed by the state and/or law enforcement agencies at the time the ballot measure takes effect. If delays in establishing such permitting and training programs occur, it could result in a substantial decline in our sales of firearms and related products and reduce traffic to our stores in Oregon, which would significantly impact on our sales and gross margin. It is still unclear what measures the State of Oregon has undertaken thus far to set up the permitting and training infrastructure called for in the ballot measure.</w:t>
      </w:r>
    </w:p>
    <w:p>
      <w:pPr>
        <w:spacing w:after="0" w:line="32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Opening new stores and acquiring store locations is also an important part of our long-term growth strategy. During fiscal year 2024, we did not open any new stores. We plan to open one new store in fiscal year 2025. We may deviate from this target if attractive opportunities are presented to open stores or acquire new store locations outside of our target growth rate.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also have been scaling our e-commerce platform and increasing sales through our website, </w:t>
      </w:r>
      <w:r>
        <w:rPr>
          <w:rFonts w:ascii="Times New Roman" w:cs="Times New Roman" w:eastAsia="Times New Roman" w:hAnsi="Times New Roman"/>
          <w:sz w:val="18"/>
          <w:szCs w:val="18"/>
          <w:i w:val="1"/>
          <w:iCs w:val="1"/>
          <w:color w:val="auto"/>
        </w:rPr>
        <w:t>www.sportsmans.com</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key drivers to increasing our total net sales include:</w:t>
      </w:r>
    </w:p>
    <w:p>
      <w:pPr>
        <w:spacing w:after="0" w:line="117" w:lineRule="exact"/>
        <w:rPr>
          <w:sz w:val="20"/>
          <w:szCs w:val="20"/>
          <w:color w:val="auto"/>
        </w:rPr>
      </w:pPr>
    </w:p>
    <w:p>
      <w:pPr>
        <w:ind w:left="840" w:hanging="368"/>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and improving same store sales in our existing markets;</w:t>
      </w:r>
    </w:p>
    <w:p>
      <w:pPr>
        <w:spacing w:after="0" w:line="117" w:lineRule="exact"/>
        <w:rPr>
          <w:rFonts w:ascii="Times New Roman" w:cs="Times New Roman" w:eastAsia="Times New Roman" w:hAnsi="Times New Roman"/>
          <w:sz w:val="18"/>
          <w:szCs w:val="18"/>
          <w:color w:val="auto"/>
        </w:rPr>
      </w:pPr>
    </w:p>
    <w:p>
      <w:pPr>
        <w:ind w:left="840" w:right="80" w:hanging="368"/>
        <w:spacing w:after="0" w:line="282"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customer visits to our stores and improving our conversion rate through focused marketing efforts and continually high standards of customer service;</w:t>
      </w:r>
    </w:p>
    <w:p>
      <w:pPr>
        <w:spacing w:after="0" w:line="53"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omni-channel capabilities through refined product assortment, expanded content and expertise and better user experience;</w:t>
      </w:r>
    </w:p>
    <w:p>
      <w:pPr>
        <w:spacing w:after="0" w:line="117"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strong community connections and be the local choice for hunting and fishing solutions;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40" w:hanging="368"/>
        <w:spacing w:after="0"/>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total gross square footage by opening new stores; and</w:t>
      </w:r>
    </w:p>
    <w:p>
      <w:pPr>
        <w:spacing w:after="0" w:line="117"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loyalty and credit card programs.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Gross profit consists of our net sales less cost of goods sold. Gross margin measures our gross profit as a percentage of net sales. Our cost of goods sold primarily consists of merchandise acquisition costs, including freight-in costs, shipping costs, payment term discounts received from the vendor and vendor allowances and rebates associated directly with merchandise and shipping costs related to e-commerce sales.</w:t>
      </w:r>
    </w:p>
    <w:p>
      <w:pPr>
        <w:spacing w:after="0" w:line="20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believe the key drivers to improving our gross margin are increasing the product mix to higher margin products, particularly apparel and footwear, increasing foot traffic within our stores and traffic to our website, improving buying opportunities with our vendor partners and coordinating pricing strategies among our stores and our merchandise group. Our ability to properly manage our inventory can also impact our gross margin. We focus our buying on core items, high-turning products and seasonally relevant merchandise, particularly in ammunition, fishing, camping and personal protection, as these are areas where customer demand is more predictable and where having products in stock matters most to our customers. Successful inventory management ensures we have sufficient high margin products in stock to meet customer demand, while overstocking of items can lead to markdowns in order to help a product sell. This is especially true with respect to our more in demand inventory, with approximately 20% of our products accounting for approximately 80% of our net sales. Despite our decision to pull forward inventory purchases, we anticipate ending fiscal year 2025 with lower total inventory than fiscal year 2024.</w:t>
      </w:r>
    </w:p>
    <w:p>
      <w:pPr>
        <w:spacing w:after="0" w:line="18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During fiscal year 2024 and continuing into the first half of fiscal year 2025, elevated inflation has adversely impacted our gross margins. In fiscal year 2025, we anticipate modest improvements in our gross margins, driven by continued careful management of variable expenses. However, during the first half of fiscal year 2025, these improvements have been partially offset by our decision to pull forward inventory purchases in anticipation of increased tariffs.</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Gross margins may continue to be affected by the evolving implementation of these higher tariff rates. We believe that the overall growth of our business can also help improve our gross margins, because increased merchandise volumes will enable us to maintain our strong relationships with our vendors. If we see significant declines in sales or increases in overstocked inventory, we may experience a decline in gross margins as we use promotions to drive traffic and reduce inventory.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21"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We closely manage our selling, general, and administrative expenses. Our selling, general, and administrative expenses are comprised of payroll, rent and occupancy, depreciation and amortization, acquisition expenses, pre-opening expenses and other operating expenses, including stock-based compensation expense. Pre-opening expenses include expenses incurred in the preparation and opening of a new store location, such as payroll, travel and supplies, but do not include the cost of the initial inventory or capital expenditures required to open a location.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selling, general, and administrative expenses are primarily influenced by the volume of net sales of our locations, except for our corporate payroll, rent and occupancy and depreciation and amortization, which are generally fixed in nature. We control our selling, general, and administrative expenses through a budgeting and reporting process that allows our personnel to adjust our expenses as trends in net sales activity are identified.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from operations is gross profit less selling, general, and administrative expenses. We use income from operations as an indicator of the productivity of our business and our ability to manage selling, general, and administrative expenses.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loss plus interest expense, income tax benefit, depreciation and amortization, stock-based compensation expense, transition and severance costs related to director and officer transitions, and expenses that we do not believe are indicative of our ongoing expenses. We define Adjusted EBITDA margin as Adjusted EBITDA divided by net sales. In evaluating our business, we use Adjusted EBITDA and Adjusted EBITDA margin as additional measurement tools for purposes of business decision-making, including evaluating store performance, developing budgets and managing expenditures. See “—Non-GAAP Financial Measures.”</w:t>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key components of our results of operations as a percentage of net sales during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3000" w:type="dxa"/>
            <w:vAlign w:val="bottom"/>
            <w:gridSpan w:val="5"/>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00" w:type="dxa"/>
            <w:vAlign w:val="bottom"/>
            <w:gridSpan w:val="5"/>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17"/>
        </w:trPr>
        <w:tc>
          <w:tcPr>
            <w:tcW w:w="3740" w:type="dxa"/>
            <w:vAlign w:val="bottom"/>
          </w:tcPr>
          <w:p>
            <w:pPr>
              <w:spacing w:after="0"/>
              <w:rPr>
                <w:sz w:val="10"/>
                <w:szCs w:val="10"/>
                <w:color w:val="auto"/>
              </w:rPr>
            </w:pPr>
          </w:p>
        </w:tc>
        <w:tc>
          <w:tcPr>
            <w:tcW w:w="1100" w:type="dxa"/>
            <w:vAlign w:val="bottom"/>
            <w:tcBorders>
              <w:top w:val="single" w:sz="8" w:color="auto"/>
            </w:tcBorders>
          </w:tcPr>
          <w:p>
            <w:pPr>
              <w:jc w:val="center"/>
              <w:ind w:left="37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4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left="371"/>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4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Borders>
              <w:top w:val="single" w:sz="8" w:color="auto"/>
            </w:tcBorders>
            <w:gridSpan w:val="3"/>
          </w:tcPr>
          <w:p>
            <w:pPr>
              <w:ind w:left="48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1580" w:type="dxa"/>
            <w:vAlign w:val="bottom"/>
            <w:tcBorders>
              <w:top w:val="single" w:sz="8" w:color="auto"/>
            </w:tcBorders>
          </w:tcPr>
          <w:p>
            <w:pPr>
              <w:jc w:val="right"/>
              <w:ind w:right="413"/>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220" w:type="dxa"/>
            <w:vAlign w:val="bottom"/>
          </w:tcPr>
          <w:p>
            <w:pPr>
              <w:spacing w:after="0"/>
              <w:rPr>
                <w:sz w:val="10"/>
                <w:szCs w:val="10"/>
                <w:color w:val="auto"/>
              </w:rPr>
            </w:pPr>
          </w:p>
        </w:tc>
      </w:tr>
      <w:tr>
        <w:trPr>
          <w:trHeight w:val="173"/>
        </w:trPr>
        <w:tc>
          <w:tcPr>
            <w:tcW w:w="3740" w:type="dxa"/>
            <w:vAlign w:val="bottom"/>
          </w:tcPr>
          <w:p>
            <w:pPr>
              <w:spacing w:after="0"/>
              <w:rPr>
                <w:sz w:val="15"/>
                <w:szCs w:val="15"/>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360" w:type="dxa"/>
            <w:vAlign w:val="bottom"/>
            <w:gridSpan w:val="2"/>
          </w:tcPr>
          <w:p>
            <w:pPr>
              <w:spacing w:after="0"/>
              <w:rPr>
                <w:sz w:val="15"/>
                <w:szCs w:val="15"/>
                <w:color w:val="auto"/>
              </w:rPr>
            </w:pPr>
          </w:p>
        </w:tc>
        <w:tc>
          <w:tcPr>
            <w:tcW w:w="11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r>
      <w:tr>
        <w:trPr>
          <w:trHeight w:val="209"/>
        </w:trPr>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Percentage of net sales:</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8"/>
                <w:szCs w:val="18"/>
                <w:color w:val="auto"/>
              </w:rPr>
            </w:pP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8"/>
                <w:szCs w:val="18"/>
                <w:color w:val="auto"/>
              </w:rPr>
            </w:pP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0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20" w:type="dxa"/>
            <w:vAlign w:val="bottom"/>
            <w:tcBorders>
              <w:bottom w:val="single" w:sz="8" w:color="CFF0FC"/>
            </w:tcBorders>
            <w:shd w:val="clear" w:color="auto" w:fill="CFF0FC"/>
          </w:tcPr>
          <w:p>
            <w:pPr>
              <w:spacing w:after="0"/>
              <w:rPr>
                <w:sz w:val="18"/>
                <w:szCs w:val="18"/>
                <w:color w:val="auto"/>
              </w:rPr>
            </w:pPr>
          </w:p>
        </w:tc>
      </w:tr>
      <w:tr>
        <w:trPr>
          <w:trHeight w:val="210"/>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tcPr>
          <w:p>
            <w:pPr>
              <w:spacing w:after="0"/>
              <w:rPr>
                <w:sz w:val="18"/>
                <w:szCs w:val="18"/>
                <w:color w:val="auto"/>
              </w:rPr>
            </w:pPr>
          </w:p>
        </w:tc>
      </w:tr>
      <w:tr>
        <w:trPr>
          <w:trHeight w:val="216"/>
        </w:trPr>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0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20" w:type="dxa"/>
            <w:vAlign w:val="bottom"/>
            <w:tcBorders>
              <w:bottom w:val="single" w:sz="8" w:color="CFF0FC"/>
            </w:tcBorders>
            <w:shd w:val="clear" w:color="auto" w:fill="CFF0FC"/>
          </w:tcPr>
          <w:p>
            <w:pPr>
              <w:spacing w:after="0"/>
              <w:rPr>
                <w:sz w:val="18"/>
                <w:szCs w:val="18"/>
                <w:color w:val="auto"/>
              </w:rPr>
            </w:pPr>
          </w:p>
        </w:tc>
      </w:tr>
      <w:tr>
        <w:trPr>
          <w:trHeight w:val="209"/>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Other losses</w:t>
            </w:r>
          </w:p>
        </w:tc>
        <w:tc>
          <w:tcPr>
            <w:tcW w:w="1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8"/>
                <w:szCs w:val="18"/>
                <w:color w:val="auto"/>
              </w:rPr>
            </w:pPr>
          </w:p>
        </w:tc>
      </w:tr>
      <w:tr>
        <w:trPr>
          <w:trHeight w:val="209"/>
        </w:trPr>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37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3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Adjusted EBITDA</w:t>
            </w:r>
          </w:p>
        </w:tc>
        <w:tc>
          <w:tcPr>
            <w:tcW w:w="1100" w:type="dxa"/>
            <w:vAlign w:val="bottom"/>
          </w:tcPr>
          <w:p>
            <w:pPr>
              <w:spacing w:after="0"/>
              <w:rPr>
                <w:sz w:val="17"/>
                <w:szCs w:val="17"/>
                <w:color w:val="auto"/>
              </w:rPr>
            </w:pPr>
          </w:p>
        </w:tc>
        <w:tc>
          <w:tcPr>
            <w:tcW w:w="68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7"/>
                <w:szCs w:val="17"/>
                <w:color w:val="auto"/>
              </w:rPr>
            </w:pPr>
          </w:p>
        </w:tc>
        <w:tc>
          <w:tcPr>
            <w:tcW w:w="17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7"/>
                <w:szCs w:val="17"/>
                <w:color w:val="auto"/>
              </w:rPr>
            </w:pPr>
          </w:p>
        </w:tc>
        <w:tc>
          <w:tcPr>
            <w:tcW w:w="1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(0.2)%</w:t>
            </w:r>
          </w:p>
        </w:tc>
      </w:tr>
      <w:tr>
        <w:trPr>
          <w:trHeight w:val="20"/>
        </w:trPr>
        <w:tc>
          <w:tcPr>
            <w:tcW w:w="37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845"/>
        </w:trPr>
        <w:tc>
          <w:tcPr>
            <w:tcW w:w="3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00" w:type="dxa"/>
            <w:vAlign w:val="bottom"/>
            <w:gridSpan w:val="4"/>
          </w:tcPr>
          <w:p>
            <w:pPr>
              <w:jc w:val="right"/>
              <w:ind w:right="951"/>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763"/>
        </w:trPr>
        <w:tc>
          <w:tcPr>
            <w:tcW w:w="37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-2365375</wp:posOffset>
            </wp:positionV>
            <wp:extent cx="14541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-2365375</wp:posOffset>
            </wp:positionV>
            <wp:extent cx="14541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-2365375</wp:posOffset>
            </wp:positionV>
            <wp:extent cx="14541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-2365375</wp:posOffset>
            </wp:positionV>
            <wp:extent cx="14541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-2082165</wp:posOffset>
            </wp:positionV>
            <wp:extent cx="14541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-2082165</wp:posOffset>
            </wp:positionV>
            <wp:extent cx="14541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-2082165</wp:posOffset>
            </wp:positionV>
            <wp:extent cx="14541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-2082165</wp:posOffset>
            </wp:positionV>
            <wp:extent cx="14541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-1233805</wp:posOffset>
            </wp:positionV>
            <wp:extent cx="14541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-1216660</wp:posOffset>
            </wp:positionV>
            <wp:extent cx="14541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-1233805</wp:posOffset>
            </wp:positionV>
            <wp:extent cx="14541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-1216660</wp:posOffset>
            </wp:positionV>
            <wp:extent cx="14541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-1233805</wp:posOffset>
            </wp:positionV>
            <wp:extent cx="14541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-1216660</wp:posOffset>
            </wp:positionV>
            <wp:extent cx="14541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-1233805</wp:posOffset>
            </wp:positionV>
            <wp:extent cx="14541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-1216660</wp:posOffset>
            </wp:positionV>
            <wp:extent cx="14541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percentage of net sales by department during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50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17"/>
        </w:trPr>
        <w:tc>
          <w:tcPr>
            <w:tcW w:w="2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Department</w:t>
            </w:r>
          </w:p>
        </w:tc>
        <w:tc>
          <w:tcPr>
            <w:tcW w:w="120" w:type="dxa"/>
            <w:vAlign w:val="bottom"/>
          </w:tcPr>
          <w:p>
            <w:pPr>
              <w:spacing w:after="0"/>
              <w:rPr>
                <w:sz w:val="10"/>
                <w:szCs w:val="10"/>
                <w:color w:val="auto"/>
              </w:rPr>
            </w:pPr>
          </w:p>
        </w:tc>
        <w:tc>
          <w:tcPr>
            <w:tcW w:w="3140" w:type="dxa"/>
            <w:vAlign w:val="bottom"/>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Product Offerings</w:t>
            </w:r>
          </w:p>
        </w:tc>
        <w:tc>
          <w:tcPr>
            <w:tcW w:w="100" w:type="dxa"/>
            <w:vAlign w:val="bottom"/>
            <w:vMerge w:val="restart"/>
          </w:tcPr>
          <w:p>
            <w:pPr>
              <w:spacing w:after="0"/>
              <w:rPr>
                <w:sz w:val="10"/>
                <w:szCs w:val="10"/>
                <w:color w:val="auto"/>
              </w:rPr>
            </w:pPr>
          </w:p>
        </w:tc>
        <w:tc>
          <w:tcPr>
            <w:tcW w:w="1280" w:type="dxa"/>
            <w:vAlign w:val="bottom"/>
            <w:tcBorders>
              <w:top w:val="single" w:sz="8" w:color="auto"/>
            </w:tcBorders>
            <w:gridSpan w:val="3"/>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9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Borders>
              <w:top w:val="single" w:sz="8" w:color="auto"/>
            </w:tcBorders>
            <w:gridSpan w:val="3"/>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1040" w:type="dxa"/>
            <w:vAlign w:val="bottom"/>
            <w:tcBorders>
              <w:top w:val="single" w:sz="8" w:color="auto"/>
            </w:tcBorders>
          </w:tcPr>
          <w:p>
            <w:pPr>
              <w:jc w:val="right"/>
              <w:ind w:right="135"/>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1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8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Camping</w:t>
            </w:r>
          </w:p>
        </w:tc>
        <w:tc>
          <w:tcPr>
            <w:tcW w:w="120" w:type="dxa"/>
            <w:vAlign w:val="bottom"/>
            <w:shd w:val="clear" w:color="auto" w:fill="CFF0FC"/>
          </w:tcPr>
          <w:p>
            <w:pPr>
              <w:spacing w:after="0"/>
              <w:rPr>
                <w:sz w:val="16"/>
                <w:szCs w:val="16"/>
                <w:color w:val="auto"/>
              </w:rPr>
            </w:pPr>
          </w:p>
        </w:tc>
        <w:tc>
          <w:tcPr>
            <w:tcW w:w="3240" w:type="dxa"/>
            <w:vAlign w:val="bottom"/>
            <w:gridSpan w:val="2"/>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Backpacks, camp essentials, canoes and</w:t>
            </w:r>
          </w:p>
        </w:tc>
        <w:tc>
          <w:tcPr>
            <w:tcW w:w="9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kayaks, coolers, outdoor cooking</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sleeping bags, tents and tools</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98"/>
        </w:trPr>
        <w:tc>
          <w:tcPr>
            <w:tcW w:w="2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Apparel</w:t>
            </w:r>
          </w:p>
        </w:tc>
        <w:tc>
          <w:tcPr>
            <w:tcW w:w="120" w:type="dxa"/>
            <w:vAlign w:val="bottom"/>
          </w:tcPr>
          <w:p>
            <w:pPr>
              <w:spacing w:after="0"/>
              <w:rPr>
                <w:sz w:val="17"/>
                <w:szCs w:val="17"/>
                <w:color w:val="auto"/>
              </w:rPr>
            </w:pPr>
          </w:p>
        </w:tc>
        <w:tc>
          <w:tcPr>
            <w:tcW w:w="3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Camouflage, jackets, hats, outerwear,</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sportswear, technical gear and work wear</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8"/>
        </w:trPr>
        <w:tc>
          <w:tcPr>
            <w:tcW w:w="28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Fishing</w:t>
            </w:r>
          </w:p>
        </w:tc>
        <w:tc>
          <w:tcPr>
            <w:tcW w:w="120" w:type="dxa"/>
            <w:vAlign w:val="bottom"/>
            <w:shd w:val="clear" w:color="auto" w:fill="CFF0FC"/>
          </w:tcPr>
          <w:p>
            <w:pPr>
              <w:spacing w:after="0"/>
              <w:rPr>
                <w:sz w:val="17"/>
                <w:szCs w:val="17"/>
                <w:color w:val="auto"/>
              </w:rPr>
            </w:pPr>
          </w:p>
        </w:tc>
        <w:tc>
          <w:tcPr>
            <w:tcW w:w="324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Bait, electronics, fishing rods, flotation</w:t>
            </w: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items, fly fishing, lines, lures, reels, tackle</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small boats</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198"/>
        </w:trPr>
        <w:tc>
          <w:tcPr>
            <w:tcW w:w="2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Footwear</w:t>
            </w:r>
          </w:p>
        </w:tc>
        <w:tc>
          <w:tcPr>
            <w:tcW w:w="120" w:type="dxa"/>
            <w:vAlign w:val="bottom"/>
          </w:tcPr>
          <w:p>
            <w:pPr>
              <w:spacing w:after="0"/>
              <w:rPr>
                <w:sz w:val="17"/>
                <w:szCs w:val="17"/>
                <w:color w:val="auto"/>
              </w:rPr>
            </w:pPr>
          </w:p>
        </w:tc>
        <w:tc>
          <w:tcPr>
            <w:tcW w:w="3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Hiking boots, socks, sport sandals,</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technical footwear, trail shoes, casual</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shoes, waders and work boots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8"/>
        </w:trPr>
        <w:tc>
          <w:tcPr>
            <w:tcW w:w="28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Hunting and Shooting</w:t>
            </w:r>
          </w:p>
        </w:tc>
        <w:tc>
          <w:tcPr>
            <w:tcW w:w="120" w:type="dxa"/>
            <w:vAlign w:val="bottom"/>
            <w:shd w:val="clear" w:color="auto" w:fill="CFF0FC"/>
          </w:tcPr>
          <w:p>
            <w:pPr>
              <w:spacing w:after="0"/>
              <w:rPr>
                <w:sz w:val="17"/>
                <w:szCs w:val="17"/>
                <w:color w:val="auto"/>
              </w:rPr>
            </w:pPr>
          </w:p>
        </w:tc>
        <w:tc>
          <w:tcPr>
            <w:tcW w:w="324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Ammunition, archery items, ATV</w:t>
            </w: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accessories, blinds and tree stands, decoys,</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firearms, reloading equipment and</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shooting gear</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198"/>
        </w:trPr>
        <w:tc>
          <w:tcPr>
            <w:tcW w:w="2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Optics, Electronics, Accessories, and</w:t>
            </w:r>
          </w:p>
        </w:tc>
        <w:tc>
          <w:tcPr>
            <w:tcW w:w="120" w:type="dxa"/>
            <w:vAlign w:val="bottom"/>
          </w:tcPr>
          <w:p>
            <w:pPr>
              <w:spacing w:after="0"/>
              <w:rPr>
                <w:sz w:val="17"/>
                <w:szCs w:val="17"/>
                <w:color w:val="auto"/>
              </w:rPr>
            </w:pPr>
          </w:p>
        </w:tc>
        <w:tc>
          <w:tcPr>
            <w:tcW w:w="3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Gift items, GPS devices, knives, lighting,</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optics, two-way radios, and other license</w:t>
            </w:r>
          </w:p>
        </w:tc>
        <w:tc>
          <w:tcPr>
            <w:tcW w:w="1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8"/>
                <w:szCs w:val="18"/>
                <w:color w:val="auto"/>
              </w:rPr>
            </w:pPr>
          </w:p>
        </w:tc>
        <w:tc>
          <w:tcPr>
            <w:tcW w:w="1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1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1"/>
        </w:trPr>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net of revenue discounts</w:t>
            </w:r>
          </w:p>
        </w:tc>
        <w:tc>
          <w:tcPr>
            <w:tcW w:w="11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spacing w:after="0"/>
              <w:rPr>
                <w:sz w:val="19"/>
                <w:szCs w:val="19"/>
                <w:color w:val="auto"/>
              </w:rPr>
            </w:pPr>
          </w:p>
        </w:tc>
        <w:tc>
          <w:tcPr>
            <w:tcW w:w="3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8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-24765</wp:posOffset>
            </wp:positionV>
            <wp:extent cx="11112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1111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11112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1111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11112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1111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Thirteen Weeks Ended August 2, 2025 Compared to Thirteen Weeks Ended August 3, 2024</w:t>
      </w:r>
    </w:p>
    <w:p>
      <w:pPr>
        <w:spacing w:after="0" w:line="1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and Same Store Sales. </w:t>
      </w:r>
      <w:r>
        <w:rPr>
          <w:rFonts w:ascii="Times New Roman" w:cs="Times New Roman" w:eastAsia="Times New Roman" w:hAnsi="Times New Roman"/>
          <w:sz w:val="18"/>
          <w:szCs w:val="18"/>
          <w:color w:val="auto"/>
        </w:rPr>
        <w:t>Net sales increased by $5.2 million, or 1.8%, to $293.9 million during the 13 weeks ended August 2, 2025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$288.7 million in the corresponding period of fiscal year 2024. Our net sales increased primarily due to increased sales in our Fishing and Hunting and Shooting departments as we continue to emphasize inventory in-stocks to ensure we have the right inventory at the right location at the right time. E-commerce driven sales comprised more than 19% of total sales for the 13 weeks ended August 2, 2025 and increased by approximately 3% compared to the corresponding period in fiscal year 2024. Same store sales increased by 2.1% during the 13 weeks ended August 2, 2025 compared to the corresponding 13-week period of fiscal year 2024, primarily as a result of our inventory management and digital marketing efforts.</w:t>
      </w:r>
    </w:p>
    <w:p>
      <w:pPr>
        <w:spacing w:after="0" w:line="21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Hunting and Shooting and Fishing departments saw net sales increases of $5.5 million and $5.3 million, respectively, during the 13 weeks ended August 2, 2025 compared to the corresponding period of fiscal year 2024 primarily driven by increased unit sales due to our continued emphasis on maintaining sufficient inventory in-stocks of core items. Our Camping, Footwear, Apparel and Optics, Electronics, Accessories and Other departments saw net sales decreases of $4.7 million, $0.4 million, $0.4 million and $0.2 million, respectively, during the 13 weeks ended August 2, 2025 compared to the corresponding period of fiscal year 2024. We believe these decreases reflected the impact of broader macroeconomic conditions discussed above. Within our Hunting and Shooting department, our ammunition category saw an increase of $3.6 million or 10.0%, while our firearm category remained relatively flat during the 13 weeks ended August 2, 2025 compared to the corresponding period of fiscal year 2024. The increase in the ammunition category was primarily due to our efforts to ensure every day low pricing in key ammunition groups and improved in-stocks on core products. The leveling in our firearms category was primarily driven by a</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shift in consumer behavior to lower cost firearms, offset by increased unit sales. We continue to consistently outpace the adjusted NICS background check data, gaining market share within the firearm space.</w:t>
      </w:r>
    </w:p>
    <w:p>
      <w:pPr>
        <w:spacing w:after="0" w:line="18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With respect to same store sales, during the 13 weeks ended August 2, 2025, our Fishing, Hunting and Shooting and Optics, Electronics, Accessories and Other departments saw increases of 10.9%, 4.0% and 2.7%, respectively, compared to the corresponding period of fiscal year 2024. Our Camping, Footwear and Apparel departments saw same store sales decreases of 9.8%, 2.1% and 1.9%, respectively, during the 13 weeks ended August 2, 2025 compared to the corresponding period of fiscal year 2024. These changes were primarily driven by the items noted above for net sales. As of August 2, 2025, 146 stores were included in our same store sales calculation.</w:t>
      </w:r>
    </w:p>
    <w:p>
      <w:pPr>
        <w:spacing w:after="0" w:line="206"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increased by $3.9 million, or 4.4%, to $93.9 million during the 13 weeks ended August 2, 2025 compared to $90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corresponding period of fiscal year 2024. As a percentage of net sales, gross profit increased to 32.0% during the 13 weeks ended August 2, 2025, compared to 31.2% for the corresponding period of fiscal year 2024. The margin improvement was primarily driven by stronger product margins from healthier inventory and increased sales in the Fishing department. These gains were partially offset by a mix shift toward lower-margin firearms and ammunition, which have a lower gross margin, reduced camping sales, and higher freight costs from an intentional inventory pull-forward to be on-time and ready for the key late summer and fall hunting seasons.</w:t>
      </w:r>
    </w:p>
    <w:p>
      <w:pPr>
        <w:spacing w:after="0" w:line="20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$2.8 million, or 3.0%, to $97.2 million during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13 weeks ended August 2, 2025, compared to $94.3 million for the corresponding period of fiscal year 2024. This increase was primarily the result of increased payroll expense of $1.9 million during the 13 weeks ended August 2, 2025. As a percentage of net sales, selling, general, and administrative expenses increased to 33.1% of net sales in the second quarter of fiscal year 2025, compared to 32.7% of net sales in the second quarter of fiscal year 2024. The increase, as a percentage of net sales, was due to a reinvestment in customer-facing areas of the business, including store labor and digital marketing to grow sales and omni-channel traffic.</w:t>
      </w:r>
    </w:p>
    <w:p>
      <w:pPr>
        <w:spacing w:after="0" w:line="20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increased by $0.6 million, or 18.8%, to $3.8 million during the 13 weeks ended August 2, 2025, compared to $3.2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corresponding period of fiscal year 2024. The increase in interest expense was primarily driven by increased borrowings under the revolving line of credit and term loan facilities during the second quarter of fiscal year 2025 compared to the corresponding period of fiscal year 2024.</w:t>
      </w:r>
    </w:p>
    <w:p>
      <w:pPr>
        <w:spacing w:after="0" w:line="198"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recognized income tax expense of $0.1 million during the 13 weeks ended August 2, 2025 compared to an income tax benefit of $2.1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during the corresponding period of fiscal year 2024. Our effective tax rates during the 13 weeks ended August 2, 2025 and August 3, 2024 were -1.4% and 25.8%, respectively. Our effective tax rate will generally differ from the U.S. Federal statutory rate of 21.0%, due to state taxes, permanent items, and discrete items relating to stock award deductions.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Twenty-Six Weeks Ended August 2, 2025 Compared to Twenty-Six Weeks Ended August 3, 2024</w:t>
      </w:r>
    </w:p>
    <w:p>
      <w:pPr>
        <w:spacing w:after="0" w:line="1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and Same Store Sales. </w:t>
      </w:r>
      <w:r>
        <w:rPr>
          <w:rFonts w:ascii="Times New Roman" w:cs="Times New Roman" w:eastAsia="Times New Roman" w:hAnsi="Times New Roman"/>
          <w:sz w:val="18"/>
          <w:szCs w:val="18"/>
          <w:color w:val="auto"/>
        </w:rPr>
        <w:t>Net sales increased by $10 million, or 1.9%, to $543 million during the 26 weeks ended August 2, 2025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$533 million in the corresponding period of fiscal year 2024. Our net sales increased primarily due to increased sales in our Fishing and Hunting and Shooting departments as we continue to emphasize inventory in-stocks to ensure we have the right inventory at the right location at the right time. E-commerce driven sales comprised more than 19% of total sales for the 26 weeks ended August 2, 2025 and increased by approximately 4% compared to the corresponding period in fiscal year 2024. Same store sales increased by 2.0% during the 26 weeks ended August 2, 2025 compared to the corresponding 26-week period of fiscal year 2024, primarily as a result of our inventory management efforts and new digital marketing strategy.</w:t>
      </w:r>
    </w:p>
    <w:p>
      <w:pPr>
        <w:spacing w:after="0" w:line="21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Fishing, Hunting and Shooting and Apparel departments saw net sales increases of $8.2 million, $7.9 million and $0.4 million, respectively, during the 26 weeks ended August 2, 2025 compared to the corresponding period of fiscal year 2024 primarily driven by increased unit sales due to our continued emphasis on maintaining sufficient inventory in-stocks of core items. Our Camping, Optics, Electronics, Accessories and Other and Footwear departments saw net sales decreases of $6.0 million, $0.4 million and $0.2 million, respectively, during the 26 weeks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ended August 2, 2025 compared to the corresponding period of fiscal year 2024. We believe these decreases reflected the impact of broader macroeconomic conditions discussed above. Within our Hunting and Shooting department, our ammunition and firearm categories saw an increases of $4.1 million and a decrease of $0.1 million or an increase of 5.3% and a decrease of less than 0.1%, respectively, during the 26 weeks ended August 2, 2025 compared to the corresponding period of fiscal year 2024. The increase in the ammunition category was primarily due to our efforts to ensure every day low pricing in key ammunition groups. While we saw a slight decrease in our firearm category, it remains relatively flat. The leveling in our firearms category was primarily driven by a shift in consumer behavior to lower cost firearms, however, we have seen increased unit sales and continue to consistently outpace the adjusted NICS background checks data, an indication that we are gaining market share within the firearms space.</w:t>
      </w:r>
    </w:p>
    <w:p>
      <w:pPr>
        <w:spacing w:after="0" w:line="21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With respect to same store sales, during the 26 weeks ended August 2, 2025, our Fishing, Hunting and Shooting, Apparel and Optics, Electronics, Accessories and Other departments saw increases of 10.9%, 2.7%, 1.2% and 0.3%, respectively, compared to the corresponding period of fiscal year 2024. Our Camping and Footwear departments saw same store sales decreases of 8.5% and 0.7%, respectively, during the 26 weeks ended August 2, 2025 compared to the corresponding period of fiscal year 2024. These changes were primarily driven by the items noted above for net sales. As of August 2, 2025, 146 stores were included in our same store sales calculation.</w:t>
      </w:r>
    </w:p>
    <w:p>
      <w:pPr>
        <w:spacing w:after="0" w:line="20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increased by $5.8 million, or 3.5%, to $169.6 million during the 26 weeks ended August 2, 2025 compared to $163.8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corresponding period of fiscal year 2024. As a percentage of net sales, gross profit increased to 31.2% during the 26 weeks ended August 2, 2025, compared to 30.7% for the corresponding period of fiscal year 2024, primarily driven by favorable mix and rate improvements from our fishing business, which carries a higher gross margin rate profile and rate improvements in our camping business. This gain was partially offset by increased freight expense tied to our strategic inventory pull-forward in anticipation of higher tariffs and changes to international trade policy.</w:t>
      </w:r>
    </w:p>
    <w:p>
      <w:pPr>
        <w:spacing w:after="0" w:line="20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$3.7 million, or 1.9%, to $192.4 million during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26 weeks ended August 2, 2025, compared to $188.8 million for the corresponding period of fiscal year 2024. This increase was primarily the result of increased payroll expense of $4.2 million during the 26 weeks ended August 2, 2025, reflecting our reinvestment into customer facing and sales driving areas of the business. This increase was partially offset by a decrease of $0.8 million and $0.5 million in depreciation and other operating expenses, respectively. As a percentage of net sales, selling, general, and administrative expenses remained flat at 35.4% of net sales in the 26 weeks ended August 2, 2025, compared to the 26 weeks ended August 3, 2024.</w:t>
      </w:r>
    </w:p>
    <w:p>
      <w:pPr>
        <w:spacing w:after="0" w:line="20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increased by $0.6 million, or 9.8%, to $6.7 million during the 26 weeks ended August 2, 2025, compared to $6.1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corresponding period of fiscal year 2024. The increase in interest expense was primarily driven by increased amortization of outstanding deferred financing fees and discounts related to the term loan facility during the 26 weeks ended August 2, 2025 compared to the corresponding period of fiscal year 2024.</w:t>
      </w:r>
    </w:p>
    <w:p>
      <w:pPr>
        <w:spacing w:after="0" w:line="203"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Income Taxes. </w:t>
      </w:r>
      <w:r>
        <w:rPr>
          <w:rFonts w:ascii="Times New Roman" w:cs="Times New Roman" w:eastAsia="Times New Roman" w:hAnsi="Times New Roman"/>
          <w:sz w:val="17"/>
          <w:szCs w:val="17"/>
          <w:color w:val="auto"/>
        </w:rPr>
        <w:t>We recognized income tax benefit of $1.2 million during the 26 weeks ended August 2, 2025 compared to an income tax benefit of $7.5</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million during the corresponding period of fiscal year 2024. Our effective tax rates during the 26 weeks ended August 2, 2025 and August 3, 2024 were</w:t>
      </w:r>
    </w:p>
    <w:p>
      <w:pPr>
        <w:spacing w:after="0" w:line="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4.2% and 23.9%, respectively. Our effective tax rate will generally differ from the U.S. Federal statutory rate of 21.0%, due to state taxes, permanent items, and discrete items relating to stock award deductions.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Net sales are typically higher in our third and fourth fiscal quarters than in our first and second fiscal quarters because of the openings of hunting seasons across the country and consumer holiday buying patterns. We also incur additional expenses in our third and fourth fiscal quarters due to higher sales volume and increased staffing in our stores. We anticipate our net sales will continue to reflect this seasonal pattern. On average, over the last three fiscal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years, we have generated approximately 26.4% and 28.0% of our net sales in the third and fourth fiscal quarters, respectively, which includes the holiday selling season as well as the opening of the Fall hunting season. We anticipate our net sales will continue to reflect this seasonal pattern. However, Spring hunting, Father’s Day and the availability of hunting and fishing throughout the year in many of our markets counterbalance this seasonality to a certain degree.</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timing of our new retail store openings also may have an impact on our quarterly results. First, we incur certain non-recurring expenses related to opening each new retail store, which are expensed as they are incurred. Second, most store expenses generally vary proportionately with net sales, but there is also a fixed cost component, which includes occupancy costs. These fixed costs typically result in lower store profitability during the initial period after a new retail store opens. Due to both of these factors, new retail store openings may result in a temporary decline in operating profit, in dollars and/or as a percentage of net sales.</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Weather conditions affect outdoor activities and the demand for related apparel and equipment. Customers’ demand for our products, and, therefore, our net sales, can be significantly impacted by weather patterns on a local, regional and national basis.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Uses and Sources of Cash</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August 2, 2025, we had cash and cash equivalents of $1.8 million and working capital, consisting of current assets less current liabilities, of $75.5 million. We also had $107.7 million available for borrowing under our senior secured revolving credit facility as of August 2, 2025, calculated based upon borrowing base restrictions under our revolving credit facility.</w:t>
      </w:r>
    </w:p>
    <w:p>
      <w:pPr>
        <w:spacing w:after="0" w:line="17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primary cash requirements are for seasonal working capital needs and capital expenditures related to ongoing operational needs and new system investments. For both the short-term and the long-term, our primary sources of cash are borrowings under our senior secured revolving credit facility and operating cash flows. We believe that our cash on hand, cash generated by operating activities and funds available under our revolving credit facility will be sufficient to finance our operating activities and meet our cash requirements for at least the next twelve months and beyond. With only one new store planned for fiscal year 2025, we intend to prioritize the repayment of outstanding debt with any excess cash flow.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material cash requirements from known contractual and other obligations are primarily for general operating expenses and other expenses discussed below.</w:t>
      </w:r>
    </w:p>
    <w:p>
      <w:pPr>
        <w:spacing w:after="0" w:line="160"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Purchase Obligations. </w:t>
      </w:r>
      <w:r>
        <w:rPr>
          <w:rFonts w:ascii="Times New Roman" w:cs="Times New Roman" w:eastAsia="Times New Roman" w:hAnsi="Times New Roman"/>
          <w:sz w:val="18"/>
          <w:szCs w:val="18"/>
          <w:color w:val="auto"/>
        </w:rPr>
        <w:t>In the ordinary course of business, we enter into arrangements with vendors to purchase merchandise in advance of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We or the vendor can generally terminate the purchase orders at any time. These purchase orders do not contain any termination payments or other penalties if cancelled.</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Lease Obligations. </w:t>
      </w:r>
      <w:r>
        <w:rPr>
          <w:rFonts w:ascii="Times New Roman" w:cs="Times New Roman" w:eastAsia="Times New Roman" w:hAnsi="Times New Roman"/>
          <w:sz w:val="18"/>
          <w:szCs w:val="18"/>
          <w:color w:val="auto"/>
        </w:rPr>
        <w:t>Operating lease commitments consist principally of leases for our retail stores, corporate office and distribution center.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leases often include options which allow us to extend the terms beyond the initial lease term. As of August 2, 2025, our expected operating lease payments for the remainder of fiscal year 2025 and fiscal year 2026 are $37.6 million and $75.4 million, respectively. Our total committed operating lease payments are $452.9 million. Other operating lease obligations consist of distribution center equipment. See Note 6, “Leases” to our unaudited condensed consolidated financial statements included in this 10-Q.</w:t>
      </w:r>
    </w:p>
    <w:p>
      <w:pPr>
        <w:spacing w:after="0" w:line="183"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During the 26 weeks ended August 2, 2025, we incurred approximately $11.2 million in capital expenditures primarily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strategic technological investments and general store maintenance. We expect capital expenditures between $20 million and $25 million for fiscal year 2025 (inclusive of amounts spent during the 26 weeks ended August 2, 2025) primarily related to strategic technological investments, such as planogramming, merchandising and replenishment and store scheduling tools, and general store fleet maintenance. We intend to fund these capital expenditures with our operating cash flows, cash on hand and funds available under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revolving credit facility. Other investment opportunities, such as potential strategic acquisitions or store expansion rates in excess of those presently planned, may require additional funding.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Principal and Interest Payments. </w:t>
      </w:r>
      <w:r>
        <w:rPr>
          <w:rFonts w:ascii="Times New Roman" w:cs="Times New Roman" w:eastAsia="Times New Roman" w:hAnsi="Times New Roman"/>
          <w:sz w:val="18"/>
          <w:szCs w:val="18"/>
          <w:color w:val="auto"/>
        </w:rPr>
        <w:t>We maintain a $350.0 million revolving credit facility and a $45.0 million term loan facility. As of August 2, 2025,</w:t>
      </w:r>
    </w:p>
    <w:p>
      <w:pPr>
        <w:spacing w:after="0" w:line="29"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$167.4 million was outstanding under the revolving credit facility and $45.0 million was outstanding under the term loan facility. Assuming no additional repayments or borrowings on our revolving credit facility after August 2, 2025, our interest payments would be approximately $7.2 million for the remainder of fiscal year 2025 and approximately $14.4 million for fiscal year 2026, in each case, based on the interest rate as of August 2, 2025. As of August 2, 2025, our weighted average interest rate on the amounts outstanding under our revolving credit facility and term loan facility was 6.77%. See below under “Indebtedness” for additional information regarding our revolving credit facility and term loan facility, including the interest rates applicable to any borrowing under such facilities.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provided by (used in) operating, investing and financing activities are shown in the following table: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0" w:type="dxa"/>
            <w:vAlign w:val="bottom"/>
            <w:gridSpan w:val="6"/>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17"/>
        </w:trPr>
        <w:tc>
          <w:tcPr>
            <w:tcW w:w="52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568"/>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417"/>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00" w:type="dxa"/>
            <w:vAlign w:val="bottom"/>
          </w:tcPr>
          <w:p>
            <w:pPr>
              <w:spacing w:after="0"/>
              <w:rPr>
                <w:sz w:val="10"/>
                <w:szCs w:val="10"/>
                <w:color w:val="auto"/>
              </w:rPr>
            </w:pPr>
          </w:p>
        </w:tc>
      </w:tr>
      <w:tr>
        <w:trPr>
          <w:trHeight w:val="173"/>
        </w:trPr>
        <w:tc>
          <w:tcPr>
            <w:tcW w:w="52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52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2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(86,799)</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(16,132)</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2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(11,169)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(7,631)</w:t>
            </w: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96,940</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23,182</w:t>
            </w: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2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1,804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2,560</w:t>
            </w:r>
          </w:p>
        </w:tc>
      </w:tr>
    </w:tbl>
    <w:p>
      <w:pPr>
        <w:spacing w:after="0" w:line="22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$86.8 million for the 26 weeks ended August 2, 2025, compared to net cash used in operating activities of $16.1 million for the corresponding period of fiscal year 2024, an increase of approximately $70.7 million. The increase in our cash flows used in operating activities was primarily driven by increased inventory purchases during the 26 weeks ended August 2, 2025 compared to the corresponding period of fiscal year 2024 done in an attempt to reduce our exposure to tariffs and ensure we have inventory on hand for hunting season and the holiday seasons.</w:t>
      </w:r>
    </w:p>
    <w:p>
      <w:pPr>
        <w:spacing w:after="0" w:line="180"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$11.2 million for the 26 weeks ended August 2, 2025, compared to net cash used in investing activities of $7.6 million for the corresponding period of fiscal year 2024, an increase of approximately $3.6 million, which was primarily driven by increased capital expenditures related to the construction of a new store and timing of technical investments during the 26 weeks ended August 2, 2025 compared to the corresponding period of fiscal year 2024.</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$96.9 million for the 26 weeks ended August 2, 2025, compared to net cash provided by financing activities of $23.2 million for the corresponding period of fiscal year 2024, an increase of approximately $73.7 million. The increase in cash provided by financing activities was primarily the result of our borrowing of $20.0 million under our delayed draw ABL term loan and incremental borrowings under our revolving credit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maintain a $350.0 million revolving credit facility, with $167.4 million outstanding as of August 2, 2025. Our revolving credit facility is governed by an amended and restated credit agreement with a consortium of banks led by Wells Fargo Bank, National Association (“Wells Fargo”). We additionally entered into a term loan credit facility on July 30, 2024 with $45.0 million outstanding as of August 2, 2025. Borrowings under our revolving credit facility are subject to a borrowing base calculation. As of August 2, 2025, we had an aggregate amount of $107.7 million available for borrowing under our revolving credit facility, calculated based upon certain borrowing base restrictions, and $2.7 million in stand-by commercial letters of credit.</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based on either the base rate or Term SOFR (as defined by the credit agreement governing the revolving credit facility), at our option, in each case plus an applicable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margin. The base rate is the greatest of (1) the floor rate (as defined in the credit agreement as a rate of interest equal to 0.0%) (2) Wells Fargo’s prime rate,</w:t>
      </w:r>
    </w:p>
    <w:p>
      <w:pPr>
        <w:spacing w:after="0" w:line="39" w:lineRule="exact"/>
        <w:rPr>
          <w:sz w:val="20"/>
          <w:szCs w:val="20"/>
          <w:color w:val="auto"/>
        </w:rPr>
      </w:pPr>
    </w:p>
    <w:p>
      <w:pPr>
        <w:ind w:right="160" w:firstLine="8"/>
        <w:spacing w:after="0" w:line="253"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funds rate (as defined in the applicable credit agreement) plus 0.50% or (4) the one-month Term SOFR (as defined in the applicable credit agreement) plus 1.00%. The applicable margin for loans under the revolving credit facility, which varies based on the average daily availability, ranges from 0.25% to 0.50% per year for base rate loans and from 1.35% to 1.60% per year for Term SOFR loans. We are required to pay a commitment fee for the unused portion of the revolving credit facility, which will range from 0.20% to 0.225% per annum, depending on the average daily availability under the revolving credit facility.</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Borrowings under the term loan facility bear interest at a rate equal to (i) a specified term secured overnight financing rate (SOFR), plus (ii) 0.10% as a SOFR adjustment, plus (iii) the applicable margin as specified in the Term Loan. The applicable margin means either 3.50% or 6.50% depending on the type of term loan. Under the Term Loan, loans may be required to be converted to base rate loans and in such case, the applicable margin rate will increase by 1.0%.</w:t>
      </w:r>
    </w:p>
    <w:p>
      <w:pPr>
        <w:spacing w:after="0" w:line="11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Each of the subsidiaries of Holdings is a borrower under the revolving credit facility and the term loan, and all obligations under the revolving credit facility and the term loan are guaranteed by Holdings. All of the obligations under the revolving credit facility and the term loan are secured by a lien on substantially all of Holdings’ assets and assets of all of Holdings’ subsidiaries, including a pledge of all capital stock of each of Holdings’ subsidiaries. The lien securing the obligations under the revolving credit facility is a first priority lien as to certain liquid assets, including cash, accounts receivable, deposit accounts and inventory. The lien securing the obligations under the term loan facility is a first priority lien as to equipment, fixtures, intellectual property and equity interests.</w:t>
      </w:r>
    </w:p>
    <w:p>
      <w:pPr>
        <w:spacing w:after="0" w:line="18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may be required to make mandatory prepayments under the revolving credit facility and the term loan in the event of a disposition of certain property or assets, in the event of receipt of certain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revolving credit facility and term loan facility each require us to maintain a minimum availability at all times of not less than the greater of $30.0 million and 10% of the gross borrowing base. In addition, the credit agreements governing each of our revolving credit facility and our term loan facility contain customary affirmative and negative covenants, including covenants that limit our ability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revolving credit facility and term loan facility also contain customary events of default, including defaults triggered by defaults under the other facility. As of August 2, 2025, we were in compliance with all covenants under the credit agreements governing each of our revolving credit facility and our term loan facility.</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Our financial statements are prepared in accordance with accounting principles generally accepted in the United States of America (“GAAP”). In connection with the preparation of the financial statements, we are required to make assumptions, make estimates and apply judgment that affect the reported amounts of assets, liabilities, revenue, expenses and the related disclosures. We base our assumptions, estimates and judgments on historical experience, current trends and other factors that we believe to be relevant at the time the condensed consolidated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estimates as described in “Part II., Item 7., Management’s Discussion and Analysis of Financial Condition and Results of Operations” of our Fiscal 2024 Form 10-K.</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evaluating our business, we use Adjusted EBITDA and Adjusted EBITDA margin as supplemental measures of our operating performance. We define Adjusted EBITDA as net loss plus interest expense, income tax benefit, depreciation and amortization, stock-based compensation expense, transition and severance costs related to director and officer transitions, and expenses that we do not believe are indicative of our ongoing expenses. Net loss is the most comparable GAAP financial measure to Adjusted EBITDA. We define Adjusted EBITDA margin as, for any period, the Adjusted EBITDA for that period divided by the net sales for that period. We consider Adjusted EBITDA and Adjusted EBITDA margin important supplemental measures of our operating performance and believe they are frequently used by analysts, investors and other interested parties in the evaluation of companies in our industry. Other companies in our industry, however, may calculate Adjusted EBITDA and Adjusted EBITDA margin differently than we do. Management also uses Adjusted EBITDA and Adjusted EBITDA margin as additional measurement tools for purposes of business decision-making, including evaluating store performance, developing budgets and managing expenditures. Management believes Adjusted EBITDA and Adjusted EBITDA margin allow investors to evaluate our operating performance and compare our results of operations from period to period on a consistent basis by excluding items that management does not believe are indicative of our core operating performance.</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Adjusted EBITDA is not defined under GAAP and is not a measure of operating income, operating performance or liquidity presented in accordance with GAAP. Adjusted EBITDA has limitations as an analytical tool, and when assessing our operating performance, you should not consider Adjusted EBITDA in isolation or as a substitute for net income or other condensed consolidated statement of operations data prepared in accordance with GAAP. Some of these limitations include, but are not limited to:</w:t>
      </w:r>
    </w:p>
    <w:p>
      <w:pPr>
        <w:spacing w:after="0" w:line="72"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may be defined differently by other companies, and, therefore, it may not be directly comparable to the results of other companies in our industry;</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the cash requirements necessary to service interest or principal payments, on our debt;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taxes or the cash requirements for any tax payments.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 reconciliation of net loss, to Adjusted EBITDA and a calculation of Adjusted EBITDA margin is set forth below for the periods presented (amounts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80" w:type="dxa"/>
            <w:vAlign w:val="bottom"/>
            <w:gridSpan w:val="6"/>
          </w:tcPr>
          <w:p>
            <w:pPr>
              <w:jc w:val="right"/>
              <w:ind w:right="1408"/>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80" w:type="dxa"/>
            <w:vAlign w:val="bottom"/>
          </w:tcPr>
          <w:p>
            <w:pPr>
              <w:spacing w:after="0"/>
              <w:rPr>
                <w:sz w:val="15"/>
                <w:szCs w:val="15"/>
                <w:color w:val="auto"/>
              </w:rPr>
            </w:pPr>
          </w:p>
        </w:tc>
        <w:tc>
          <w:tcPr>
            <w:tcW w:w="3300" w:type="dxa"/>
            <w:vAlign w:val="bottom"/>
            <w:gridSpan w:val="6"/>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17"/>
        </w:trPr>
        <w:tc>
          <w:tcPr>
            <w:tcW w:w="3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gridSpan w:val="2"/>
          </w:tcPr>
          <w:p>
            <w:pPr>
              <w:jc w:val="right"/>
              <w:ind w:right="82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right"/>
              <w:ind w:right="414"/>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4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82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1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right"/>
              <w:ind w:right="413"/>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220" w:type="dxa"/>
            <w:vAlign w:val="bottom"/>
          </w:tcPr>
          <w:p>
            <w:pPr>
              <w:spacing w:after="0"/>
              <w:rPr>
                <w:sz w:val="10"/>
                <w:szCs w:val="10"/>
                <w:color w:val="auto"/>
              </w:rPr>
            </w:pPr>
          </w:p>
        </w:tc>
      </w:tr>
      <w:tr>
        <w:trPr>
          <w:trHeight w:val="173"/>
        </w:trPr>
        <w:tc>
          <w:tcPr>
            <w:tcW w:w="3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r>
      <w:tr>
        <w:trPr>
          <w:trHeight w:val="142"/>
        </w:trPr>
        <w:tc>
          <w:tcPr>
            <w:tcW w:w="3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9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(7,083)</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(5,906)</w:t>
            </w:r>
          </w:p>
        </w:tc>
        <w:tc>
          <w:tcPr>
            <w:tcW w:w="480" w:type="dxa"/>
            <w:vAlign w:val="bottom"/>
            <w:shd w:val="clear" w:color="auto" w:fill="CFF0FC"/>
          </w:tcPr>
          <w:p>
            <w:pPr>
              <w:jc w:val="center"/>
              <w:ind w:right="2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(28,337)</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(23,972)</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6,091</w:t>
            </w:r>
          </w:p>
        </w:tc>
        <w:tc>
          <w:tcPr>
            <w:tcW w:w="220" w:type="dxa"/>
            <w:vAlign w:val="bottom"/>
          </w:tcPr>
          <w:p>
            <w:pPr>
              <w:spacing w:after="0"/>
              <w:rPr>
                <w:sz w:val="18"/>
                <w:szCs w:val="18"/>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(2,057)</w:t>
            </w:r>
          </w:p>
        </w:tc>
        <w:tc>
          <w:tcPr>
            <w:tcW w:w="4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(7,526)</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10,160</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20,552</w:t>
            </w:r>
          </w:p>
        </w:tc>
        <w:tc>
          <w:tcPr>
            <w:tcW w:w="220" w:type="dxa"/>
            <w:vAlign w:val="bottom"/>
          </w:tcPr>
          <w:p>
            <w:pPr>
              <w:spacing w:after="0"/>
              <w:rPr>
                <w:sz w:val="18"/>
                <w:szCs w:val="18"/>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 (1)</w:t>
            </w: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4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220" w:type="dxa"/>
            <w:vAlign w:val="bottom"/>
            <w:shd w:val="clear" w:color="auto" w:fill="CFF0FC"/>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officer transition costs (2)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tcPr>
          <w:p>
            <w:pPr>
              <w:spacing w:after="0"/>
              <w:rPr>
                <w:sz w:val="18"/>
                <w:szCs w:val="18"/>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Cancelled contract (3)</w:t>
            </w: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4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20" w:type="dxa"/>
            <w:vAlign w:val="bottom"/>
            <w:shd w:val="clear" w:color="auto" w:fill="CFF0FC"/>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Legal accrual (4)</w:t>
            </w:r>
          </w:p>
        </w:tc>
        <w:tc>
          <w:tcPr>
            <w:tcW w:w="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r>
      <w:tr>
        <w:trPr>
          <w:trHeight w:val="230"/>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8,315</w:t>
            </w:r>
          </w:p>
        </w:tc>
        <w:tc>
          <w:tcPr>
            <w:tcW w:w="3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420" w:type="dxa"/>
            <w:vAlign w:val="bottom"/>
            <w:shd w:val="clear" w:color="auto" w:fill="CFF0FC"/>
          </w:tcPr>
          <w:p>
            <w:pPr>
              <w:spacing w:after="0"/>
              <w:rPr>
                <w:sz w:val="19"/>
                <w:szCs w:val="19"/>
                <w:color w:val="auto"/>
              </w:rPr>
            </w:pPr>
          </w:p>
        </w:tc>
        <w:tc>
          <w:tcPr>
            <w:tcW w:w="480" w:type="dxa"/>
            <w:vAlign w:val="bottom"/>
            <w:shd w:val="clear" w:color="auto" w:fill="CFF0FC"/>
          </w:tcPr>
          <w:p>
            <w:pPr>
              <w:jc w:val="center"/>
              <w:ind w:right="2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(721)</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(1,328)</w:t>
            </w:r>
          </w:p>
        </w:tc>
      </w:tr>
      <w:tr>
        <w:trPr>
          <w:trHeight w:val="20"/>
        </w:trPr>
        <w:tc>
          <w:tcPr>
            <w:tcW w:w="31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r>
        <w:trPr>
          <w:trHeight w:val="41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293,899</w:t>
            </w:r>
          </w:p>
        </w:tc>
        <w:tc>
          <w:tcPr>
            <w:tcW w:w="320" w:type="dxa"/>
            <w:vAlign w:val="bottom"/>
          </w:tcPr>
          <w:p>
            <w:pPr>
              <w:spacing w:after="0"/>
              <w:rPr>
                <w:sz w:val="24"/>
                <w:szCs w:val="24"/>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288,734</w:t>
            </w:r>
          </w:p>
        </w:tc>
        <w:tc>
          <w:tcPr>
            <w:tcW w:w="420" w:type="dxa"/>
            <w:vAlign w:val="bottom"/>
          </w:tcPr>
          <w:p>
            <w:pPr>
              <w:spacing w:after="0"/>
              <w:rPr>
                <w:sz w:val="24"/>
                <w:szCs w:val="24"/>
                <w:color w:val="auto"/>
              </w:rPr>
            </w:pPr>
          </w:p>
        </w:tc>
        <w:tc>
          <w:tcPr>
            <w:tcW w:w="4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543,002</w:t>
            </w:r>
          </w:p>
        </w:tc>
        <w:tc>
          <w:tcPr>
            <w:tcW w:w="320" w:type="dxa"/>
            <w:vAlign w:val="bottom"/>
          </w:tcPr>
          <w:p>
            <w:pPr>
              <w:spacing w:after="0"/>
              <w:rPr>
                <w:sz w:val="24"/>
                <w:szCs w:val="24"/>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532,974</w:t>
            </w:r>
          </w:p>
        </w:tc>
        <w:tc>
          <w:tcPr>
            <w:tcW w:w="220" w:type="dxa"/>
            <w:vAlign w:val="bottom"/>
          </w:tcPr>
          <w:p>
            <w:pPr>
              <w:spacing w:after="0"/>
              <w:rPr>
                <w:sz w:val="24"/>
                <w:szCs w:val="24"/>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margin</w:t>
            </w: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(2.1)%</w:t>
            </w:r>
          </w:p>
        </w:tc>
        <w:tc>
          <w:tcPr>
            <w:tcW w:w="4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 (5)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2.6%</w:t>
            </w:r>
          </w:p>
        </w:tc>
        <w:tc>
          <w:tcPr>
            <w:tcW w:w="4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-585470</wp:posOffset>
            </wp:positionV>
            <wp:extent cx="14605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-568325</wp:posOffset>
            </wp:positionV>
            <wp:extent cx="14605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-585470</wp:posOffset>
            </wp:positionV>
            <wp:extent cx="14605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-568325</wp:posOffset>
            </wp:positionV>
            <wp:extent cx="14605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-585470</wp:posOffset>
            </wp:positionV>
            <wp:extent cx="14541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-568325</wp:posOffset>
            </wp:positionV>
            <wp:extent cx="14541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-585470</wp:posOffset>
            </wp:positionV>
            <wp:extent cx="14541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-568325</wp:posOffset>
            </wp:positionV>
            <wp:extent cx="14541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237426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32"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expenses related to equity instruments granted to employees under our equity incentive plan and employee stock purchase plan.</w:t>
      </w:r>
    </w:p>
    <w:p>
      <w:pPr>
        <w:spacing w:after="0" w:line="27" w:lineRule="exact"/>
        <w:rPr>
          <w:rFonts w:ascii="Times New Roman" w:cs="Times New Roman" w:eastAsia="Times New Roman" w:hAnsi="Times New Roman"/>
          <w:sz w:val="18"/>
          <w:szCs w:val="18"/>
          <w:color w:val="auto"/>
        </w:rPr>
      </w:pPr>
    </w:p>
    <w:p>
      <w:pPr>
        <w:ind w:left="520" w:right="460" w:hanging="512"/>
        <w:spacing w:after="0" w:line="250"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incurred relating to the departure of directors and officers and the recruitment of directors and key members of our senior management team.</w:t>
      </w: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and expenses related to a settlement in the cancellation of a contract related to our information technology systems.</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accrual for a legal settlement and related fees and expense.</w:t>
      </w:r>
    </w:p>
    <w:p>
      <w:pPr>
        <w:spacing w:after="0" w:line="9" w:lineRule="exact"/>
        <w:rPr>
          <w:rFonts w:ascii="Times New Roman" w:cs="Times New Roman" w:eastAsia="Times New Roman" w:hAnsi="Times New Roman"/>
          <w:sz w:val="18"/>
          <w:szCs w:val="18"/>
          <w:color w:val="auto"/>
        </w:rPr>
      </w:pPr>
    </w:p>
    <w:p>
      <w:pPr>
        <w:ind w:left="520" w:right="220" w:hanging="512"/>
        <w:spacing w:after="0" w:line="260"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net income margin as net income divided by net sales and we define Adjusted EBITDA margin as Adjusted EBITDA divided by net sales.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Item 305 of Regulation S-K.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and 15d-15(e) under the Securities Exchange Act of 1934, as amended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our management, including our Chief Executive Officer and Chief Financial Officer, as appropriate, to allow for timely decisions regarding required disclosures. Our management has evaluated, under the supervision and with the participation of our Chief Executive Officer and Chief Financial Officer, the effectiveness of our disclosure controls and procedures (as defined in Rules 13a-15(e) and 15d-15(e) under the Exchange Act) as of the end of the period covered by this 10-Q. Based on that evaluation, our Chief Executive Officer and Chief Financial Officer have concluded that our disclosure controls and procedures were effective as of August 2, 2025.</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in Effectiveness of Controls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or fraud. Additionally, controls can be circumvented by individuals or groups of persons or by an unauthorized override of the controls. Accordingly, because of the inherent limitations in our control system, misstatements in our public reports due to error or fraud may occur and not be detected.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13a-15(d) and 15d-15(d) under the Exchange Act) during the 13 weeks ended August 2, 2025 that have materially affected, or are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See Note 13, “Commitments and Contingencies” to our condensed consolidated financial statements for additional information, which is incorporated herein by reference.</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pending lawsuit described in Note 13 of our unaudited interim consolidated financial statements is subject to inherent uncertainties, and the actual defense and disposition costs will depend upon unknown factors. The outcomes of the pending lawsuit are necessarily uncertain. We also could be forced to expend significant resources in the defense of the pending lawsuit, including substantial legal fees and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business faces significant risks and uncertainties. Certain important factors may have a material adverse effect on our business prospects, financial condition and results of operations, and you should carefully consider them. There have been no material changes in our risk factors from those set forth in our Fiscal 2024 Form 10-K.</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6" w:lineRule="exact"/>
        <w:rPr>
          <w:sz w:val="20"/>
          <w:szCs w:val="20"/>
          <w:color w:val="auto"/>
        </w:rPr>
      </w:pPr>
    </w:p>
    <w:p>
      <w:pPr>
        <w:ind w:left="240"/>
        <w:spacing w:after="0"/>
        <w:tabs>
          <w:tab w:leader="none" w:pos="608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p>
      <w:pPr>
        <w:spacing w:after="0" w:line="3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2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3.2</w:t>
      </w:r>
    </w:p>
    <w:p>
      <w:pPr>
        <w:spacing w:after="0" w:line="3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10.1</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10.2</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31.1*</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31.2*</w:t>
      </w:r>
    </w:p>
    <w:p>
      <w:pPr>
        <w:spacing w:after="0" w:line="3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32.1**</w:t>
      </w:r>
    </w:p>
    <w:p>
      <w:pPr>
        <w:spacing w:after="0" w:line="200" w:lineRule="exact"/>
        <w:rPr>
          <w:sz w:val="20"/>
          <w:szCs w:val="20"/>
          <w:color w:val="auto"/>
        </w:rPr>
      </w:pPr>
    </w:p>
    <w:p>
      <w:pPr>
        <w:spacing w:after="0" w:line="2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101.INS*</w:t>
      </w:r>
    </w:p>
    <w:p>
      <w:pPr>
        <w:spacing w:after="0" w:line="33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101.SCH*</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FF"/>
        </w:rPr>
      </w:pPr>
      <w:hyperlink r:id="rId353">
        <w:r>
          <w:rPr>
            <w:rFonts w:ascii="Times New Roman" w:cs="Times New Roman" w:eastAsia="Times New Roman" w:hAnsi="Times New Roman"/>
            <w:sz w:val="18"/>
            <w:szCs w:val="18"/>
            <w:u w:val="single" w:color="auto"/>
            <w:color w:val="0000FF"/>
          </w:rPr>
          <w:t>Amended and Restated Certificate of Incorporation of Sportsman’s Warehouse Holdings, Inc. (incorporated by reference to Exhibit</w:t>
        </w:r>
      </w:hyperlink>
      <w:r>
        <w:rPr>
          <w:rFonts w:ascii="Times New Roman" w:cs="Times New Roman" w:eastAsia="Times New Roman" w:hAnsi="Times New Roman"/>
          <w:sz w:val="18"/>
          <w:szCs w:val="18"/>
          <w:u w:val="single" w:color="auto"/>
          <w:color w:val="0000FF"/>
        </w:rPr>
        <w:t xml:space="preserve"> </w:t>
      </w:r>
      <w:hyperlink r:id="rId353">
        <w:r>
          <w:rPr>
            <w:rFonts w:ascii="Times New Roman" w:cs="Times New Roman" w:eastAsia="Times New Roman" w:hAnsi="Times New Roman"/>
            <w:sz w:val="18"/>
            <w:szCs w:val="18"/>
            <w:u w:val="single" w:color="auto"/>
            <w:color w:val="0000FF"/>
          </w:rPr>
          <w:t>3.1 to the Company’s Current Report on Form 8-K, filed with the SEC on June 8,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-296545</wp:posOffset>
            </wp:positionV>
            <wp:extent cx="7132320" cy="2743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right="200"/>
        <w:spacing w:after="0" w:line="282" w:lineRule="auto"/>
        <w:rPr>
          <w:rFonts w:ascii="Times New Roman" w:cs="Times New Roman" w:eastAsia="Times New Roman" w:hAnsi="Times New Roman"/>
          <w:sz w:val="18"/>
          <w:szCs w:val="18"/>
          <w:u w:val="single" w:color="auto"/>
          <w:color w:val="0000FF"/>
        </w:rPr>
      </w:pPr>
      <w:hyperlink r:id="rId355">
        <w:r>
          <w:rPr>
            <w:rFonts w:ascii="Times New Roman" w:cs="Times New Roman" w:eastAsia="Times New Roman" w:hAnsi="Times New Roman"/>
            <w:sz w:val="18"/>
            <w:szCs w:val="18"/>
            <w:u w:val="single" w:color="auto"/>
            <w:color w:val="0000FF"/>
          </w:rPr>
          <w:t>Fourth Amended and Restated Bylaws of Sportsman’s Warehouse Holdings, Inc. (incorporated by reference to Exhibit 3.1 to the</w:t>
        </w:r>
      </w:hyperlink>
      <w:r>
        <w:rPr>
          <w:rFonts w:ascii="Times New Roman" w:cs="Times New Roman" w:eastAsia="Times New Roman" w:hAnsi="Times New Roman"/>
          <w:sz w:val="18"/>
          <w:szCs w:val="18"/>
          <w:u w:val="single" w:color="auto"/>
          <w:color w:val="0000FF"/>
        </w:rPr>
        <w:t xml:space="preserve"> </w:t>
      </w:r>
      <w:hyperlink r:id="rId355">
        <w:r>
          <w:rPr>
            <w:rFonts w:ascii="Times New Roman" w:cs="Times New Roman" w:eastAsia="Times New Roman" w:hAnsi="Times New Roman"/>
            <w:sz w:val="18"/>
            <w:szCs w:val="18"/>
            <w:u w:val="single" w:color="auto"/>
            <w:color w:val="0000FF"/>
          </w:rPr>
          <w:t>Current Report on Form 8-K, filed with the SEC on March 25,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-296545</wp:posOffset>
            </wp:positionV>
            <wp:extent cx="7132320" cy="2743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Agreement, dated August 4, 2025, between Sportsman’s Warehouse Holdings, Inc. and Jennifer Fall Jung.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-119380</wp:posOffset>
            </wp:positionV>
            <wp:extent cx="7132320" cy="1371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Separation and Consulting Agreement, dated August 4, 2025, between Sportsman’s Warehouse Holdings, Inc. and Jeff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-119380</wp:posOffset>
            </wp:positionV>
            <wp:extent cx="7132320" cy="1371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-119380</wp:posOffset>
            </wp:positionV>
            <wp:extent cx="7132320" cy="1371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-119380</wp:posOffset>
            </wp:positionV>
            <wp:extent cx="7132320" cy="1371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and Principal Financial Officer pursuant to 18 U.S.C. 1350, as adopted by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-296545</wp:posOffset>
            </wp:positionV>
            <wp:extent cx="7132320" cy="2743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-296545</wp:posOffset>
            </wp:positionV>
            <wp:extent cx="7132320" cy="2743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-119380</wp:posOffset>
            </wp:positionV>
            <wp:extent cx="7132320" cy="1371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-119380</wp:posOffset>
            </wp:positionV>
            <wp:extent cx="7132320" cy="13716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-1061085</wp:posOffset>
            </wp:positionH>
            <wp:positionV relativeFrom="paragraph">
              <wp:posOffset>154305</wp:posOffset>
            </wp:positionV>
            <wp:extent cx="713232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20" w:space="560"/>
            <w:col w:w="9480"/>
          </w:cols>
          <w:pgMar w:left="320" w:top="769" w:right="419" w:bottom="1440" w:gutter="0" w:footer="0" w:header="0"/>
          <w:type w:val="continuous"/>
        </w:sectPr>
      </w:pPr>
    </w:p>
    <w:p>
      <w:pPr>
        <w:spacing w:after="0" w:line="250"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SPORTSMAN’S WAREHOUSE HOLDINGS, INC.</w:t>
      </w:r>
    </w:p>
    <w:p>
      <w:pPr>
        <w:spacing w:after="0" w:line="229" w:lineRule="exact"/>
        <w:rPr>
          <w:sz w:val="20"/>
          <w:szCs w:val="20"/>
          <w:color w:val="auto"/>
        </w:rPr>
      </w:pPr>
    </w:p>
    <w:p>
      <w:pPr>
        <w:spacing w:after="0"/>
        <w:tabs>
          <w:tab w:leader="none" w:pos="5620" w:val="left"/>
          <w:tab w:leader="none" w:pos="8160" w:val="left"/>
        </w:tabs>
        <w:rPr>
          <w:sz w:val="20"/>
          <w:szCs w:val="20"/>
          <w:color w:val="auto"/>
        </w:rPr>
      </w:pPr>
      <w:r>
        <w:rPr>
          <w:rFonts w:ascii="Times New Roman" w:cs="Times New Roman" w:eastAsia="Times New Roman" w:hAnsi="Times New Roman"/>
          <w:sz w:val="18"/>
          <w:szCs w:val="18"/>
          <w:color w:val="auto"/>
        </w:rPr>
        <w:t>Date: September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/s/Paul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1"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Paul Stone</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tabs>
          <w:tab w:leader="none" w:pos="5620" w:val="left"/>
          <w:tab w:leader="none" w:pos="7900" w:val="left"/>
        </w:tabs>
        <w:rPr>
          <w:sz w:val="20"/>
          <w:szCs w:val="20"/>
          <w:color w:val="auto"/>
        </w:rPr>
      </w:pPr>
      <w:r>
        <w:rPr>
          <w:rFonts w:ascii="Times New Roman" w:cs="Times New Roman" w:eastAsia="Times New Roman" w:hAnsi="Times New Roman"/>
          <w:sz w:val="18"/>
          <w:szCs w:val="18"/>
          <w:color w:val="auto"/>
        </w:rPr>
        <w:t>Date: September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/s/Jennifer Fall Jung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Jennifer Fall Jung</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Stone, certify that:</w:t>
      </w:r>
    </w:p>
    <w:p>
      <w:pPr>
        <w:spacing w:after="0" w:line="117"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Sportsman’s Warehouse Holdings, Inc.;</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80" w:hanging="514"/>
        <w:spacing w:after="0" w:line="266" w:lineRule="auto"/>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right="20" w:hanging="514"/>
        <w:spacing w:after="0" w:line="266" w:lineRule="auto"/>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360" w:hanging="514"/>
        <w:spacing w:after="0" w:line="266" w:lineRule="auto"/>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20" w:hanging="514"/>
        <w:spacing w:after="0" w:line="282" w:lineRule="auto"/>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00" w:hanging="514"/>
        <w:spacing w:after="0" w:line="282" w:lineRule="auto"/>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4, 2025</w:t>
      </w:r>
    </w:p>
    <w:p>
      <w:pPr>
        <w:spacing w:after="0" w:line="239"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8"/>
          <w:szCs w:val="18"/>
          <w:color w:val="auto"/>
        </w:rPr>
        <w:t>/s/ Paul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8061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1">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2"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4"/>
          <w:szCs w:val="14"/>
          <w:b w:val="1"/>
          <w:bCs w:val="1"/>
          <w:color w:val="auto"/>
        </w:rPr>
        <w:t>Paul Stone</w:t>
      </w:r>
    </w:p>
    <w:p>
      <w:pPr>
        <w:jc w:val="center"/>
        <w:ind w:right="5240"/>
        <w:spacing w:after="0" w:line="221" w:lineRule="auto"/>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jc w:val="center"/>
        <w:ind w:right="52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918210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3" w:name="page44"/>
    <w:bookmarkEnd w:id="43"/>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Fall Jung, certify that:</w:t>
      </w:r>
    </w:p>
    <w:p>
      <w:pPr>
        <w:spacing w:after="0" w:line="117"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Sportsman’s Warehouse Holdings, Inc.;</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480" w:hanging="503"/>
        <w:spacing w:after="0" w:line="312" w:lineRule="auto"/>
        <w:tabs>
          <w:tab w:leader="none" w:pos="10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0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40" w:right="100" w:hanging="514"/>
        <w:spacing w:after="0" w:line="266" w:lineRule="auto"/>
        <w:tabs>
          <w:tab w:leader="none" w:pos="1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60" w:hanging="514"/>
        <w:spacing w:after="0" w:line="266" w:lineRule="auto"/>
        <w:tabs>
          <w:tab w:leader="none" w:pos="1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hanging="514"/>
        <w:spacing w:after="0" w:line="266" w:lineRule="auto"/>
        <w:tabs>
          <w:tab w:leader="none" w:pos="1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340" w:hanging="514"/>
        <w:spacing w:after="0" w:line="266" w:lineRule="auto"/>
        <w:tabs>
          <w:tab w:leader="none" w:pos="1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60" w:hanging="503"/>
        <w:spacing w:after="0" w:line="312" w:lineRule="auto"/>
        <w:tabs>
          <w:tab w:leader="none" w:pos="10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00" w:hanging="514"/>
        <w:spacing w:after="0" w:line="282" w:lineRule="auto"/>
        <w:tabs>
          <w:tab w:leader="none" w:pos="1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480" w:hanging="514"/>
        <w:spacing w:after="0" w:line="282" w:lineRule="auto"/>
        <w:tabs>
          <w:tab w:leader="none" w:pos="1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4, 2025</w:t>
      </w:r>
    </w:p>
    <w:p>
      <w:pPr>
        <w:spacing w:after="0" w:line="239" w:lineRule="exact"/>
        <w:rPr>
          <w:sz w:val="20"/>
          <w:szCs w:val="20"/>
          <w:color w:val="auto"/>
        </w:rPr>
      </w:pPr>
    </w:p>
    <w:p>
      <w:pPr>
        <w:jc w:val="center"/>
        <w:ind w:right="5260"/>
        <w:spacing w:after="0"/>
        <w:rPr>
          <w:sz w:val="20"/>
          <w:szCs w:val="20"/>
          <w:color w:val="auto"/>
        </w:rPr>
      </w:pPr>
      <w:r>
        <w:rPr>
          <w:rFonts w:ascii="Times New Roman" w:cs="Times New Roman" w:eastAsia="Times New Roman" w:hAnsi="Times New Roman"/>
          <w:sz w:val="18"/>
          <w:szCs w:val="18"/>
          <w:color w:val="auto"/>
        </w:rPr>
        <w:t>/s/ Jennifer Fall Jung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8015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3">
                      <a:extLst>
                        <a:ext uri="{28A0092B-C50C-407E-A947-70E740481C1C}"/>
                      </a:extLst>
                    </a:blip>
                    <a:srcRect/>
                    <a:stretch>
                      <a:fillRect/>
                    </a:stretch>
                  </pic:blipFill>
                  <pic:spPr bwMode="auto">
                    <a:xfrm>
                      <a:off x="0" y="0"/>
                      <a:ext cx="3780155" cy="8890"/>
                    </a:xfrm>
                    <a:prstGeom prst="rect">
                      <a:avLst/>
                    </a:prstGeom>
                    <a:noFill/>
                  </pic:spPr>
                </pic:pic>
              </a:graphicData>
            </a:graphic>
          </wp:anchor>
        </w:drawing>
      </w:r>
    </w:p>
    <w:p>
      <w:pPr>
        <w:spacing w:after="0" w:line="2" w:lineRule="exact"/>
        <w:rPr>
          <w:sz w:val="20"/>
          <w:szCs w:val="20"/>
          <w:color w:val="auto"/>
        </w:rPr>
      </w:pPr>
    </w:p>
    <w:p>
      <w:pPr>
        <w:jc w:val="center"/>
        <w:ind w:right="5260"/>
        <w:spacing w:after="0"/>
        <w:rPr>
          <w:sz w:val="20"/>
          <w:szCs w:val="20"/>
          <w:color w:val="auto"/>
        </w:rPr>
      </w:pPr>
      <w:r>
        <w:rPr>
          <w:rFonts w:ascii="Times New Roman" w:cs="Times New Roman" w:eastAsia="Times New Roman" w:hAnsi="Times New Roman"/>
          <w:sz w:val="14"/>
          <w:szCs w:val="14"/>
          <w:b w:val="1"/>
          <w:bCs w:val="1"/>
          <w:color w:val="auto"/>
        </w:rPr>
        <w:t>Jennifer Fall Jung</w:t>
      </w:r>
    </w:p>
    <w:p>
      <w:pPr>
        <w:jc w:val="center"/>
        <w:ind w:right="5260"/>
        <w:spacing w:after="0" w:line="221" w:lineRule="auto"/>
        <w:rPr>
          <w:sz w:val="20"/>
          <w:szCs w:val="20"/>
          <w:color w:val="auto"/>
        </w:rPr>
      </w:pPr>
      <w:r>
        <w:rPr>
          <w:rFonts w:ascii="Times New Roman" w:cs="Times New Roman" w:eastAsia="Times New Roman" w:hAnsi="Times New Roman"/>
          <w:sz w:val="14"/>
          <w:szCs w:val="14"/>
          <w:i w:val="1"/>
          <w:iCs w:val="1"/>
          <w:color w:val="auto"/>
        </w:rPr>
        <w:t>Chief Financial Officer and Secretary</w:t>
      </w:r>
    </w:p>
    <w:p>
      <w:pPr>
        <w:jc w:val="center"/>
        <w:ind w:right="526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918210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AS ADOPTED</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PURSUANT TO SECTION 906 OF THE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Sportsman’s Warehouse Holdings, Inc. (the “Registrant”) for the fiscal quarter ended August 2, 2025, as filed with the Securities and Exchange Commission on the date hereof (the “Report”), Paul Stone, President and Chief Executive Officer of the Registrant, and Jennifer Fall Jung, Chief Financial Officer and Secretary of the Registrant, hereby certify, pursuant to 18 U.S.C. Section 1350, as adopted pursuant to Section 906 of the Sarbanes-Oxley Act of 2002, that, to the best of their knowledge:</w:t>
      </w:r>
    </w:p>
    <w:p>
      <w:pPr>
        <w:spacing w:after="0" w:line="72"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4, 2025</w:t>
      </w:r>
    </w:p>
    <w:p>
      <w:pPr>
        <w:spacing w:after="0" w:line="239" w:lineRule="exact"/>
        <w:rPr>
          <w:sz w:val="20"/>
          <w:szCs w:val="20"/>
          <w:color w:val="auto"/>
        </w:rPr>
      </w:pPr>
    </w:p>
    <w:p>
      <w:pPr>
        <w:jc w:val="center"/>
        <w:ind w:right="5260"/>
        <w:spacing w:after="0"/>
        <w:rPr>
          <w:sz w:val="20"/>
          <w:szCs w:val="20"/>
          <w:color w:val="auto"/>
        </w:rPr>
      </w:pPr>
      <w:r>
        <w:rPr>
          <w:rFonts w:ascii="Times New Roman" w:cs="Times New Roman" w:eastAsia="Times New Roman" w:hAnsi="Times New Roman"/>
          <w:sz w:val="18"/>
          <w:szCs w:val="18"/>
          <w:color w:val="auto"/>
        </w:rPr>
        <w:t>/s/ Paul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801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5">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2" w:lineRule="exact"/>
        <w:rPr>
          <w:sz w:val="20"/>
          <w:szCs w:val="20"/>
          <w:color w:val="auto"/>
        </w:rPr>
      </w:pPr>
    </w:p>
    <w:p>
      <w:pPr>
        <w:jc w:val="center"/>
        <w:ind w:right="5260"/>
        <w:spacing w:after="0"/>
        <w:rPr>
          <w:sz w:val="20"/>
          <w:szCs w:val="20"/>
          <w:color w:val="auto"/>
        </w:rPr>
      </w:pPr>
      <w:r>
        <w:rPr>
          <w:rFonts w:ascii="Times New Roman" w:cs="Times New Roman" w:eastAsia="Times New Roman" w:hAnsi="Times New Roman"/>
          <w:sz w:val="14"/>
          <w:szCs w:val="14"/>
          <w:b w:val="1"/>
          <w:bCs w:val="1"/>
          <w:color w:val="auto"/>
        </w:rPr>
        <w:t>Paul Stone</w:t>
      </w:r>
    </w:p>
    <w:p>
      <w:pPr>
        <w:jc w:val="center"/>
        <w:ind w:right="5260"/>
        <w:spacing w:after="0" w:line="221" w:lineRule="auto"/>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jc w:val="center"/>
        <w:ind w:right="526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4, 2025</w:t>
      </w:r>
    </w:p>
    <w:p>
      <w:pPr>
        <w:spacing w:after="0" w:line="239" w:lineRule="exact"/>
        <w:rPr>
          <w:sz w:val="20"/>
          <w:szCs w:val="20"/>
          <w:color w:val="auto"/>
        </w:rPr>
      </w:pPr>
    </w:p>
    <w:p>
      <w:pPr>
        <w:jc w:val="center"/>
        <w:ind w:right="5260"/>
        <w:spacing w:after="0"/>
        <w:rPr>
          <w:sz w:val="20"/>
          <w:szCs w:val="20"/>
          <w:color w:val="auto"/>
        </w:rPr>
      </w:pPr>
      <w:r>
        <w:rPr>
          <w:rFonts w:ascii="Times New Roman" w:cs="Times New Roman" w:eastAsia="Times New Roman" w:hAnsi="Times New Roman"/>
          <w:sz w:val="18"/>
          <w:szCs w:val="18"/>
          <w:color w:val="auto"/>
        </w:rPr>
        <w:t>/s/ Jennifer Fall Jung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801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6">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2" w:lineRule="exact"/>
        <w:rPr>
          <w:sz w:val="20"/>
          <w:szCs w:val="20"/>
          <w:color w:val="auto"/>
        </w:rPr>
      </w:pPr>
    </w:p>
    <w:p>
      <w:pPr>
        <w:jc w:val="center"/>
        <w:ind w:right="5260"/>
        <w:spacing w:after="0"/>
        <w:rPr>
          <w:sz w:val="20"/>
          <w:szCs w:val="20"/>
          <w:color w:val="auto"/>
        </w:rPr>
      </w:pPr>
      <w:r>
        <w:rPr>
          <w:rFonts w:ascii="Times New Roman" w:cs="Times New Roman" w:eastAsia="Times New Roman" w:hAnsi="Times New Roman"/>
          <w:sz w:val="14"/>
          <w:szCs w:val="14"/>
          <w:b w:val="1"/>
          <w:bCs w:val="1"/>
          <w:color w:val="auto"/>
        </w:rPr>
        <w:t>Jennifer Fall Jung</w:t>
      </w:r>
    </w:p>
    <w:p>
      <w:pPr>
        <w:jc w:val="center"/>
        <w:ind w:right="5260"/>
        <w:spacing w:after="0" w:line="221" w:lineRule="auto"/>
        <w:rPr>
          <w:sz w:val="20"/>
          <w:szCs w:val="20"/>
          <w:color w:val="auto"/>
        </w:rPr>
      </w:pPr>
      <w:r>
        <w:rPr>
          <w:rFonts w:ascii="Times New Roman" w:cs="Times New Roman" w:eastAsia="Times New Roman" w:hAnsi="Times New Roman"/>
          <w:sz w:val="14"/>
          <w:szCs w:val="14"/>
          <w:i w:val="1"/>
          <w:iCs w:val="1"/>
          <w:color w:val="auto"/>
        </w:rPr>
        <w:t>Chief Financial Officer and Secretary</w:t>
      </w:r>
    </w:p>
    <w:p>
      <w:pPr>
        <w:jc w:val="center"/>
        <w:ind w:right="526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19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foregoing certifications are being furnished pursuant to 18 U.S.C. Section 1350. They are not being filed for purposes of Section 18 of the Securities Exchange Act of 1934, as amended, and are not to be incorporated by reference into any filing of the Registrant,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770890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2"/>
    </w:lvl>
  </w:abstractNum>
  <w:abstractNum w:abstractNumId="7">
    <w:nsid w:val="3352255A"/>
    <w:multiLevelType w:val="hybridMultilevel"/>
    <w:lvl w:ilvl="0">
      <w:lvlJc w:val="left"/>
      <w:lvlText w:val="(%1)"/>
      <w:numFmt w:val="decimal"/>
      <w:start w:val="13"/>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3"/>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4" Type="http://schemas.openxmlformats.org/officeDocument/2006/relationships/image" Target="media/image346.png"/><Relationship Id="rId356" Type="http://schemas.openxmlformats.org/officeDocument/2006/relationships/image" Target="media/image347.png"/><Relationship Id="rId357" Type="http://schemas.openxmlformats.org/officeDocument/2006/relationships/image" Target="media/image348.png"/><Relationship Id="rId358" Type="http://schemas.openxmlformats.org/officeDocument/2006/relationships/image" Target="media/image349.png"/><Relationship Id="rId359" Type="http://schemas.openxmlformats.org/officeDocument/2006/relationships/image" Target="media/image350.png"/><Relationship Id="rId360" Type="http://schemas.openxmlformats.org/officeDocument/2006/relationships/image" Target="media/image351.png"/><Relationship Id="rId361" Type="http://schemas.openxmlformats.org/officeDocument/2006/relationships/image" Target="media/image352.png"/><Relationship Id="rId362" Type="http://schemas.openxmlformats.org/officeDocument/2006/relationships/image" Target="media/image353.png"/><Relationship Id="rId363" Type="http://schemas.openxmlformats.org/officeDocument/2006/relationships/image" Target="media/image354.png"/><Relationship Id="rId364" Type="http://schemas.openxmlformats.org/officeDocument/2006/relationships/image" Target="media/image355.png"/><Relationship Id="rId365" Type="http://schemas.openxmlformats.org/officeDocument/2006/relationships/image" Target="media/image356.png"/><Relationship Id="rId366" Type="http://schemas.openxmlformats.org/officeDocument/2006/relationships/image" Target="media/image357.png"/><Relationship Id="rId367" Type="http://schemas.openxmlformats.org/officeDocument/2006/relationships/image" Target="media/image358.png"/><Relationship Id="rId368" Type="http://schemas.openxmlformats.org/officeDocument/2006/relationships/image" Target="media/image359.png"/><Relationship Id="rId369" Type="http://schemas.openxmlformats.org/officeDocument/2006/relationships/image" Target="media/image360.png"/><Relationship Id="rId370" Type="http://schemas.openxmlformats.org/officeDocument/2006/relationships/image" Target="media/image361.png"/><Relationship Id="rId371" Type="http://schemas.openxmlformats.org/officeDocument/2006/relationships/image" Target="media/image362.png"/><Relationship Id="rId372" Type="http://schemas.openxmlformats.org/officeDocument/2006/relationships/image" Target="media/image363.png"/><Relationship Id="rId373" Type="http://schemas.openxmlformats.org/officeDocument/2006/relationships/image" Target="media/image364.png"/><Relationship Id="rId374" Type="http://schemas.openxmlformats.org/officeDocument/2006/relationships/image" Target="media/image365.png"/><Relationship Id="rId375" Type="http://schemas.openxmlformats.org/officeDocument/2006/relationships/image" Target="media/image366.png"/><Relationship Id="rId376" Type="http://schemas.openxmlformats.org/officeDocument/2006/relationships/image" Target="media/image367.png"/><Relationship Id="rId377" Type="http://schemas.openxmlformats.org/officeDocument/2006/relationships/image" Target="media/image368.png"/><Relationship Id="rId353" Type="http://schemas.openxmlformats.org/officeDocument/2006/relationships/hyperlink" Target="https://www.sec.gov/Archives/edgar/data/1132105/000095017023026914/spwh-ex3_1.htm" TargetMode="External"/><Relationship Id="rId355" Type="http://schemas.openxmlformats.org/officeDocument/2006/relationships/hyperlink" Target="https://www.sec.gov/ix?doc=/Archives/edgar/data/1132105/000095017024041618/spwh-202402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2025-09-04T15:34:59Z</dcterms:created>
  <dcterms:modified xsi:type="dcterms:W3CDTF">2025-09-04T15:34:59Z</dcterms:modified>
</cp:coreProperties>
</file>