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81851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634365</wp:posOffset>
            </wp:positionV>
            <wp:extent cx="713232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3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(Mark One)</w:t>
      </w:r>
    </w:p>
    <w:p>
      <w:pPr>
        <w:spacing w:after="0" w:line="26" w:lineRule="exact"/>
        <w:rPr>
          <w:sz w:val="24"/>
          <w:szCs w:val="24"/>
          <w:color w:val="auto"/>
        </w:rPr>
      </w:pPr>
    </w:p>
    <w:p>
      <w:pPr>
        <w:ind w:left="3900" w:right="2640" w:hanging="3892"/>
        <w:spacing w:after="0" w:line="328" w:lineRule="auto"/>
        <w:tabs>
          <w:tab w:leader="none" w:pos="327"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QUARTERLY REPORT PURSUANT TO SECTION 13 OR 15(d) OF THE SECURITIES EXCHANGE ACT OF 1934 For the quarterly period ended November 1, 2025</w:t>
      </w: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73" w:lineRule="exact"/>
        <w:rPr>
          <w:sz w:val="24"/>
          <w:szCs w:val="24"/>
          <w:color w:val="auto"/>
        </w:rPr>
      </w:pPr>
    </w:p>
    <w:p>
      <w:pPr>
        <w:ind w:left="3940" w:right="2660" w:hanging="3932"/>
        <w:spacing w:after="0" w:line="299" w:lineRule="auto"/>
        <w:tabs>
          <w:tab w:leader="none" w:pos="331"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 For the transition period from_______to_______</w:t>
      </w:r>
    </w:p>
    <w:p>
      <w:pPr>
        <w:spacing w:after="0" w:line="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Commission File Number: 001-36401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69" w:lineRule="exact"/>
        <w:rPr>
          <w:sz w:val="24"/>
          <w:szCs w:val="24"/>
          <w:color w:val="auto"/>
        </w:rPr>
      </w:pPr>
    </w:p>
    <w:p>
      <w:pPr>
        <w:ind w:left="3800"/>
        <w:spacing w:after="0"/>
        <w:rPr>
          <w:sz w:val="20"/>
          <w:szCs w:val="20"/>
          <w:color w:val="auto"/>
        </w:rPr>
      </w:pPr>
      <w:r>
        <w:rPr>
          <w:rFonts w:ascii="Times New Roman" w:cs="Times New Roman" w:eastAsia="Times New Roman" w:hAnsi="Times New Roman"/>
          <w:sz w:val="16"/>
          <w:szCs w:val="16"/>
          <w:b w:val="1"/>
          <w:bCs w:val="1"/>
          <w:color w:val="auto"/>
        </w:rPr>
        <w:t>SPORTSMAN’S WAREHOUSE HOLDINGS, INC.</w:t>
      </w:r>
    </w:p>
    <w:p>
      <w:pPr>
        <w:spacing w:after="0" w:line="28" w:lineRule="exact"/>
        <w:rPr>
          <w:sz w:val="24"/>
          <w:szCs w:val="24"/>
          <w:color w:val="auto"/>
        </w:rPr>
      </w:pPr>
    </w:p>
    <w:p>
      <w:pPr>
        <w:ind w:left="3820"/>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61" w:lineRule="exact"/>
        <w:rPr>
          <w:sz w:val="24"/>
          <w:szCs w:val="24"/>
          <w:color w:val="auto"/>
        </w:rPr>
      </w:pPr>
    </w:p>
    <w:tbl>
      <w:tblPr>
        <w:tblLayout w:type="fixed"/>
        <w:tblInd w:w="1080" w:type="dxa"/>
        <w:tblCellMar>
          <w:top w:w="0" w:type="dxa"/>
          <w:left w:w="0" w:type="dxa"/>
          <w:bottom w:w="0" w:type="dxa"/>
          <w:right w:w="0" w:type="dxa"/>
        </w:tblCellMar>
      </w:tblPr>
      <w:tr>
        <w:trPr>
          <w:trHeight w:val="203"/>
        </w:trPr>
        <w:tc>
          <w:tcPr>
            <w:tcW w:w="5160" w:type="dxa"/>
            <w:vAlign w:val="bottom"/>
          </w:tcPr>
          <w:p>
            <w:pPr>
              <w:jc w:val="center"/>
              <w:ind w:right="1579"/>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294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39-1975614</w:t>
            </w:r>
          </w:p>
        </w:tc>
      </w:tr>
      <w:tr>
        <w:trPr>
          <w:trHeight w:val="203"/>
        </w:trPr>
        <w:tc>
          <w:tcPr>
            <w:tcW w:w="5160" w:type="dxa"/>
            <w:vAlign w:val="bottom"/>
          </w:tcPr>
          <w:p>
            <w:pPr>
              <w:jc w:val="center"/>
              <w:ind w:right="1599"/>
              <w:spacing w:after="0"/>
              <w:rPr>
                <w:sz w:val="20"/>
                <w:szCs w:val="20"/>
                <w:color w:val="auto"/>
              </w:rPr>
            </w:pPr>
            <w:r>
              <w:rPr>
                <w:rFonts w:ascii="Times New Roman" w:cs="Times New Roman" w:eastAsia="Times New Roman" w:hAnsi="Times New Roman"/>
                <w:sz w:val="16"/>
                <w:szCs w:val="16"/>
                <w:b w:val="1"/>
                <w:bCs w:val="1"/>
                <w:color w:val="auto"/>
              </w:rPr>
              <w:t>(State or other jurisdiction</w:t>
            </w:r>
          </w:p>
        </w:tc>
        <w:tc>
          <w:tcPr>
            <w:tcW w:w="2940" w:type="dxa"/>
            <w:vAlign w:val="bottom"/>
          </w:tcPr>
          <w:p>
            <w:pPr>
              <w:jc w:val="center"/>
              <w:ind w:left="1599"/>
              <w:spacing w:after="0"/>
              <w:rPr>
                <w:sz w:val="20"/>
                <w:szCs w:val="20"/>
                <w:color w:val="auto"/>
              </w:rPr>
            </w:pPr>
            <w:r>
              <w:rPr>
                <w:rFonts w:ascii="Times New Roman" w:cs="Times New Roman" w:eastAsia="Times New Roman" w:hAnsi="Times New Roman"/>
                <w:sz w:val="16"/>
                <w:szCs w:val="16"/>
                <w:b w:val="1"/>
                <w:bCs w:val="1"/>
                <w:color w:val="auto"/>
              </w:rPr>
              <w:t>(I.R.S. Employer</w:t>
            </w:r>
          </w:p>
        </w:tc>
      </w:tr>
      <w:tr>
        <w:trPr>
          <w:trHeight w:val="212"/>
        </w:trPr>
        <w:tc>
          <w:tcPr>
            <w:tcW w:w="5160" w:type="dxa"/>
            <w:vAlign w:val="bottom"/>
          </w:tcPr>
          <w:p>
            <w:pPr>
              <w:jc w:val="center"/>
              <w:ind w:right="1599"/>
              <w:spacing w:after="0"/>
              <w:rPr>
                <w:sz w:val="20"/>
                <w:szCs w:val="20"/>
                <w:color w:val="auto"/>
              </w:rPr>
            </w:pPr>
            <w:r>
              <w:rPr>
                <w:rFonts w:ascii="Times New Roman" w:cs="Times New Roman" w:eastAsia="Times New Roman" w:hAnsi="Times New Roman"/>
                <w:sz w:val="16"/>
                <w:szCs w:val="16"/>
                <w:b w:val="1"/>
                <w:bCs w:val="1"/>
                <w:color w:val="auto"/>
              </w:rPr>
              <w:t>of incorporation or organization)</w:t>
            </w:r>
          </w:p>
        </w:tc>
        <w:tc>
          <w:tcPr>
            <w:tcW w:w="2940" w:type="dxa"/>
            <w:vAlign w:val="bottom"/>
          </w:tcPr>
          <w:p>
            <w:pPr>
              <w:jc w:val="center"/>
              <w:ind w:left="1599"/>
              <w:spacing w:after="0"/>
              <w:rPr>
                <w:sz w:val="20"/>
                <w:szCs w:val="20"/>
                <w:color w:val="auto"/>
              </w:rPr>
            </w:pPr>
            <w:r>
              <w:rPr>
                <w:rFonts w:ascii="Times New Roman" w:cs="Times New Roman" w:eastAsia="Times New Roman" w:hAnsi="Times New Roman"/>
                <w:sz w:val="16"/>
                <w:szCs w:val="16"/>
                <w:b w:val="1"/>
                <w:bCs w:val="1"/>
                <w:color w:val="auto"/>
              </w:rPr>
              <w:t>Identification No.)</w:t>
            </w:r>
          </w:p>
        </w:tc>
      </w:tr>
      <w:tr>
        <w:trPr>
          <w:trHeight w:val="260"/>
        </w:trPr>
        <w:tc>
          <w:tcPr>
            <w:tcW w:w="5160" w:type="dxa"/>
            <w:vAlign w:val="bottom"/>
          </w:tcPr>
          <w:p>
            <w:pPr>
              <w:jc w:val="center"/>
              <w:ind w:right="1579"/>
              <w:spacing w:after="0"/>
              <w:rPr>
                <w:sz w:val="20"/>
                <w:szCs w:val="20"/>
                <w:color w:val="auto"/>
              </w:rPr>
            </w:pPr>
            <w:r>
              <w:rPr>
                <w:rFonts w:ascii="Times New Roman" w:cs="Times New Roman" w:eastAsia="Times New Roman" w:hAnsi="Times New Roman"/>
                <w:sz w:val="16"/>
                <w:szCs w:val="16"/>
                <w:b w:val="1"/>
                <w:bCs w:val="1"/>
                <w:color w:val="auto"/>
              </w:rPr>
              <w:t>1475 West 9000 South, Suite A, West Jordan, Utah</w:t>
            </w:r>
          </w:p>
        </w:tc>
        <w:tc>
          <w:tcPr>
            <w:tcW w:w="2940" w:type="dxa"/>
            <w:vAlign w:val="bottom"/>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84088</w:t>
            </w:r>
          </w:p>
        </w:tc>
      </w:tr>
      <w:tr>
        <w:trPr>
          <w:trHeight w:val="212"/>
        </w:trPr>
        <w:tc>
          <w:tcPr>
            <w:tcW w:w="5160" w:type="dxa"/>
            <w:vAlign w:val="bottom"/>
          </w:tcPr>
          <w:p>
            <w:pPr>
              <w:jc w:val="center"/>
              <w:ind w:right="1599"/>
              <w:spacing w:after="0"/>
              <w:rPr>
                <w:sz w:val="20"/>
                <w:szCs w:val="20"/>
                <w:color w:val="auto"/>
              </w:rPr>
            </w:pPr>
            <w:r>
              <w:rPr>
                <w:rFonts w:ascii="Times New Roman" w:cs="Times New Roman" w:eastAsia="Times New Roman" w:hAnsi="Times New Roman"/>
                <w:sz w:val="16"/>
                <w:szCs w:val="16"/>
                <w:b w:val="1"/>
                <w:bCs w:val="1"/>
                <w:color w:val="auto"/>
              </w:rPr>
              <w:t>(Address of principal executive offices)</w:t>
            </w:r>
          </w:p>
        </w:tc>
        <w:tc>
          <w:tcPr>
            <w:tcW w:w="2940" w:type="dxa"/>
            <w:vAlign w:val="bottom"/>
          </w:tcPr>
          <w:p>
            <w:pPr>
              <w:jc w:val="center"/>
              <w:ind w:left="1599"/>
              <w:spacing w:after="0"/>
              <w:rPr>
                <w:sz w:val="20"/>
                <w:szCs w:val="20"/>
                <w:color w:val="auto"/>
              </w:rPr>
            </w:pPr>
            <w:r>
              <w:rPr>
                <w:rFonts w:ascii="Times New Roman" w:cs="Times New Roman" w:eastAsia="Times New Roman" w:hAnsi="Times New Roman"/>
                <w:sz w:val="16"/>
                <w:szCs w:val="16"/>
                <w:b w:val="1"/>
                <w:bCs w:val="1"/>
                <w:color w:val="auto"/>
                <w:w w:val="99"/>
              </w:rPr>
              <w:t>(Zip Code)</w:t>
            </w:r>
          </w:p>
        </w:tc>
      </w:tr>
    </w:tbl>
    <w:p>
      <w:pPr>
        <w:spacing w:after="0" w:line="193"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 (801) 566-6681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tbl>
      <w:tblPr>
        <w:tblLayout w:type="fixed"/>
        <w:tblInd w:w="10" w:type="dxa"/>
        <w:tblCellMar>
          <w:top w:w="0" w:type="dxa"/>
          <w:left w:w="0" w:type="dxa"/>
          <w:bottom w:w="0" w:type="dxa"/>
          <w:right w:w="0" w:type="dxa"/>
        </w:tblCellMar>
      </w:tblPr>
      <w:tr>
        <w:trPr>
          <w:trHeight w:val="210"/>
        </w:trPr>
        <w:tc>
          <w:tcPr>
            <w:tcW w:w="37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3740" w:type="dxa"/>
            <w:vAlign w:val="bottom"/>
          </w:tcPr>
          <w:p>
            <w:pPr>
              <w:spacing w:after="0"/>
              <w:rPr>
                <w:sz w:val="18"/>
                <w:szCs w:val="18"/>
                <w:color w:val="auto"/>
              </w:rPr>
            </w:pPr>
          </w:p>
        </w:tc>
        <w:tc>
          <w:tcPr>
            <w:tcW w:w="3740" w:type="dxa"/>
            <w:vAlign w:val="bottom"/>
          </w:tcPr>
          <w:p>
            <w:pPr>
              <w:spacing w:after="0"/>
              <w:rPr>
                <w:sz w:val="18"/>
                <w:szCs w:val="18"/>
                <w:color w:val="auto"/>
              </w:rPr>
            </w:pPr>
          </w:p>
        </w:tc>
      </w:tr>
      <w:tr>
        <w:trPr>
          <w:trHeight w:val="131"/>
        </w:trPr>
        <w:tc>
          <w:tcPr>
            <w:tcW w:w="3760" w:type="dxa"/>
            <w:vAlign w:val="bottom"/>
            <w:tcBorders>
              <w:bottom w:val="single" w:sz="8" w:color="auto"/>
            </w:tcBorders>
          </w:tcPr>
          <w:p>
            <w:pPr>
              <w:spacing w:after="0"/>
              <w:rPr>
                <w:sz w:val="11"/>
                <w:szCs w:val="11"/>
                <w:color w:val="auto"/>
              </w:rPr>
            </w:pPr>
          </w:p>
        </w:tc>
        <w:tc>
          <w:tcPr>
            <w:tcW w:w="3740" w:type="dxa"/>
            <w:vAlign w:val="bottom"/>
            <w:tcBorders>
              <w:bottom w:val="single" w:sz="8" w:color="auto"/>
            </w:tcBorders>
          </w:tcPr>
          <w:p>
            <w:pPr>
              <w:spacing w:after="0"/>
              <w:rPr>
                <w:sz w:val="11"/>
                <w:szCs w:val="11"/>
                <w:color w:val="auto"/>
              </w:rPr>
            </w:pPr>
          </w:p>
        </w:tc>
        <w:tc>
          <w:tcPr>
            <w:tcW w:w="3740" w:type="dxa"/>
            <w:vAlign w:val="bottom"/>
            <w:tcBorders>
              <w:bottom w:val="single" w:sz="8" w:color="auto"/>
            </w:tcBorders>
          </w:tcPr>
          <w:p>
            <w:pPr>
              <w:spacing w:after="0"/>
              <w:rPr>
                <w:sz w:val="11"/>
                <w:szCs w:val="11"/>
                <w:color w:val="auto"/>
              </w:rPr>
            </w:pPr>
          </w:p>
        </w:tc>
      </w:tr>
      <w:tr>
        <w:trPr>
          <w:trHeight w:val="196"/>
        </w:trPr>
        <w:tc>
          <w:tcPr>
            <w:tcW w:w="3760" w:type="dxa"/>
            <w:vAlign w:val="bottom"/>
            <w:tcBorders>
              <w:left w:val="single" w:sz="8" w:color="auto"/>
              <w:bottom w:val="single" w:sz="8" w:color="auto"/>
              <w:right w:val="single" w:sz="8" w:color="auto"/>
            </w:tcBorders>
          </w:tcPr>
          <w:p>
            <w:pPr>
              <w:jc w:val="center"/>
              <w:spacing w:after="0" w:line="176" w:lineRule="exact"/>
              <w:rPr>
                <w:sz w:val="20"/>
                <w:szCs w:val="20"/>
                <w:color w:val="auto"/>
              </w:rPr>
            </w:pPr>
            <w:r>
              <w:rPr>
                <w:rFonts w:ascii="Times New Roman" w:cs="Times New Roman" w:eastAsia="Times New Roman" w:hAnsi="Times New Roman"/>
                <w:sz w:val="16"/>
                <w:szCs w:val="16"/>
                <w:color w:val="auto"/>
              </w:rPr>
              <w:t>Title of each class</w:t>
            </w:r>
          </w:p>
        </w:tc>
        <w:tc>
          <w:tcPr>
            <w:tcW w:w="3740" w:type="dxa"/>
            <w:vAlign w:val="bottom"/>
            <w:tcBorders>
              <w:bottom w:val="single" w:sz="8" w:color="auto"/>
              <w:right w:val="single" w:sz="8" w:color="auto"/>
            </w:tcBorders>
          </w:tcPr>
          <w:p>
            <w:pPr>
              <w:jc w:val="center"/>
              <w:spacing w:after="0" w:line="176" w:lineRule="exact"/>
              <w:rPr>
                <w:sz w:val="20"/>
                <w:szCs w:val="20"/>
                <w:color w:val="auto"/>
              </w:rPr>
            </w:pPr>
            <w:r>
              <w:rPr>
                <w:rFonts w:ascii="Times New Roman" w:cs="Times New Roman" w:eastAsia="Times New Roman" w:hAnsi="Times New Roman"/>
                <w:sz w:val="16"/>
                <w:szCs w:val="16"/>
                <w:color w:val="auto"/>
              </w:rPr>
              <w:t>Trading Symbol(s)</w:t>
            </w:r>
          </w:p>
        </w:tc>
        <w:tc>
          <w:tcPr>
            <w:tcW w:w="3740" w:type="dxa"/>
            <w:vAlign w:val="bottom"/>
            <w:tcBorders>
              <w:bottom w:val="single" w:sz="8" w:color="auto"/>
              <w:right w:val="single" w:sz="8" w:color="auto"/>
            </w:tcBorders>
          </w:tcPr>
          <w:p>
            <w:pPr>
              <w:jc w:val="center"/>
              <w:spacing w:after="0" w:line="176" w:lineRule="exact"/>
              <w:rPr>
                <w:sz w:val="20"/>
                <w:szCs w:val="20"/>
                <w:color w:val="auto"/>
              </w:rPr>
            </w:pPr>
            <w:r>
              <w:rPr>
                <w:rFonts w:ascii="Times New Roman" w:cs="Times New Roman" w:eastAsia="Times New Roman" w:hAnsi="Times New Roman"/>
                <w:sz w:val="16"/>
                <w:szCs w:val="16"/>
                <w:color w:val="auto"/>
              </w:rPr>
              <w:t>Name of each exchange on which registered</w:t>
            </w:r>
          </w:p>
        </w:tc>
      </w:tr>
      <w:tr>
        <w:trPr>
          <w:trHeight w:val="165"/>
        </w:trPr>
        <w:tc>
          <w:tcPr>
            <w:tcW w:w="3760" w:type="dxa"/>
            <w:vAlign w:val="bottom"/>
            <w:tcBorders>
              <w:left w:val="single" w:sz="8" w:color="auto"/>
              <w:right w:val="single" w:sz="8" w:color="auto"/>
            </w:tcBorders>
          </w:tcPr>
          <w:p>
            <w:pPr>
              <w:jc w:val="center"/>
              <w:spacing w:after="0" w:line="165" w:lineRule="exact"/>
              <w:rPr>
                <w:sz w:val="20"/>
                <w:szCs w:val="20"/>
                <w:color w:val="auto"/>
              </w:rPr>
            </w:pPr>
            <w:r>
              <w:rPr>
                <w:rFonts w:ascii="Times New Roman" w:cs="Times New Roman" w:eastAsia="Times New Roman" w:hAnsi="Times New Roman"/>
                <w:sz w:val="16"/>
                <w:szCs w:val="16"/>
                <w:color w:val="auto"/>
              </w:rPr>
              <w:t>Common stock, par value $0.01 per share</w:t>
            </w:r>
          </w:p>
        </w:tc>
        <w:tc>
          <w:tcPr>
            <w:tcW w:w="3740" w:type="dxa"/>
            <w:vAlign w:val="bottom"/>
            <w:tcBorders>
              <w:right w:val="single" w:sz="8" w:color="auto"/>
            </w:tcBorders>
          </w:tcPr>
          <w:p>
            <w:pPr>
              <w:jc w:val="center"/>
              <w:spacing w:after="0" w:line="165" w:lineRule="exact"/>
              <w:rPr>
                <w:sz w:val="20"/>
                <w:szCs w:val="20"/>
                <w:color w:val="auto"/>
              </w:rPr>
            </w:pPr>
            <w:r>
              <w:rPr>
                <w:rFonts w:ascii="Times New Roman" w:cs="Times New Roman" w:eastAsia="Times New Roman" w:hAnsi="Times New Roman"/>
                <w:sz w:val="16"/>
                <w:szCs w:val="16"/>
                <w:color w:val="auto"/>
                <w:w w:val="98"/>
              </w:rPr>
              <w:t>SPWH</w:t>
            </w:r>
          </w:p>
        </w:tc>
        <w:tc>
          <w:tcPr>
            <w:tcW w:w="3740" w:type="dxa"/>
            <w:vAlign w:val="bottom"/>
            <w:tcBorders>
              <w:right w:val="single" w:sz="8" w:color="auto"/>
            </w:tcBorders>
          </w:tcPr>
          <w:p>
            <w:pPr>
              <w:jc w:val="center"/>
              <w:spacing w:after="0" w:line="165" w:lineRule="exact"/>
              <w:rPr>
                <w:sz w:val="20"/>
                <w:szCs w:val="20"/>
                <w:color w:val="auto"/>
              </w:rPr>
            </w:pPr>
            <w:r>
              <w:rPr>
                <w:rFonts w:ascii="Times New Roman" w:cs="Times New Roman" w:eastAsia="Times New Roman" w:hAnsi="Times New Roman"/>
                <w:sz w:val="16"/>
                <w:szCs w:val="16"/>
                <w:color w:val="auto"/>
              </w:rPr>
              <w:t>The Nasdaq Stock Market LLC</w:t>
            </w:r>
          </w:p>
        </w:tc>
      </w:tr>
      <w:tr>
        <w:trPr>
          <w:trHeight w:val="213"/>
        </w:trPr>
        <w:tc>
          <w:tcPr>
            <w:tcW w:w="3760" w:type="dxa"/>
            <w:vAlign w:val="bottom"/>
            <w:tcBorders>
              <w:left w:val="single" w:sz="8" w:color="auto"/>
              <w:bottom w:val="single" w:sz="8" w:color="auto"/>
              <w:right w:val="single" w:sz="8" w:color="auto"/>
            </w:tcBorders>
          </w:tcPr>
          <w:p>
            <w:pPr>
              <w:spacing w:after="0"/>
              <w:rPr>
                <w:sz w:val="18"/>
                <w:szCs w:val="18"/>
                <w:color w:val="auto"/>
              </w:rPr>
            </w:pPr>
          </w:p>
        </w:tc>
        <w:tc>
          <w:tcPr>
            <w:tcW w:w="3740" w:type="dxa"/>
            <w:vAlign w:val="bottom"/>
            <w:tcBorders>
              <w:bottom w:val="single" w:sz="8" w:color="auto"/>
              <w:right w:val="single" w:sz="8" w:color="auto"/>
            </w:tcBorders>
          </w:tcPr>
          <w:p>
            <w:pPr>
              <w:spacing w:after="0"/>
              <w:rPr>
                <w:sz w:val="18"/>
                <w:szCs w:val="18"/>
                <w:color w:val="auto"/>
              </w:rPr>
            </w:pPr>
          </w:p>
        </w:tc>
        <w:tc>
          <w:tcPr>
            <w:tcW w:w="3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(Nasdaq Global Select Market)</w:t>
            </w:r>
          </w:p>
        </w:tc>
      </w:tr>
    </w:tbl>
    <w:p>
      <w:pPr>
        <w:spacing w:after="0" w:line="189" w:lineRule="exact"/>
        <w:rPr>
          <w:sz w:val="24"/>
          <w:szCs w:val="24"/>
          <w:color w:val="auto"/>
        </w:rPr>
      </w:pPr>
    </w:p>
    <w:p>
      <w:pPr>
        <w:ind w:right="40" w:firstLine="509"/>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71" w:lineRule="exact"/>
        <w:rPr>
          <w:sz w:val="24"/>
          <w:szCs w:val="24"/>
          <w:color w:val="auto"/>
        </w:rPr>
      </w:pPr>
    </w:p>
    <w:p>
      <w:pPr>
        <w:ind w:right="180" w:firstLine="509"/>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69" w:lineRule="exact"/>
        <w:rPr>
          <w:sz w:val="24"/>
          <w:szCs w:val="24"/>
          <w:color w:val="auto"/>
        </w:rPr>
      </w:pPr>
    </w:p>
    <w:p>
      <w:pPr>
        <w:jc w:val="both"/>
        <w:ind w:right="240" w:firstLine="509"/>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41" w:lineRule="exact"/>
        <w:rPr>
          <w:sz w:val="24"/>
          <w:szCs w:val="24"/>
          <w:color w:val="auto"/>
        </w:rPr>
      </w:pPr>
    </w:p>
    <w:tbl>
      <w:tblPr>
        <w:tblLayout w:type="fixed"/>
        <w:tblInd w:w="0" w:type="dxa"/>
        <w:tblCellMar>
          <w:top w:w="0" w:type="dxa"/>
          <w:left w:w="0" w:type="dxa"/>
          <w:bottom w:w="0" w:type="dxa"/>
          <w:right w:w="0" w:type="dxa"/>
        </w:tblCellMar>
      </w:tblPr>
      <w:tr>
        <w:trPr>
          <w:trHeight w:val="270"/>
        </w:trPr>
        <w:tc>
          <w:tcPr>
            <w:tcW w:w="220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340" w:type="dxa"/>
            <w:vAlign w:val="bottom"/>
          </w:tcPr>
          <w:p>
            <w:pPr>
              <w:ind w:left="420"/>
              <w:spacing w:after="0" w:line="161" w:lineRule="exact"/>
              <w:rPr>
                <w:sz w:val="20"/>
                <w:szCs w:val="20"/>
                <w:color w:val="auto"/>
              </w:rPr>
            </w:pPr>
            <w:r>
              <w:rPr>
                <w:rFonts w:ascii="MS PGothic" w:cs="MS PGothic" w:eastAsia="MS PGothic" w:hAnsi="MS PGothic"/>
                <w:sz w:val="16"/>
                <w:szCs w:val="16"/>
                <w:color w:val="auto"/>
              </w:rPr>
              <w:t>☐</w:t>
            </w:r>
          </w:p>
        </w:tc>
        <w:tc>
          <w:tcPr>
            <w:tcW w:w="5000" w:type="dxa"/>
            <w:vAlign w:val="bottom"/>
          </w:tcPr>
          <w:p>
            <w:pPr>
              <w:ind w:left="2780"/>
              <w:spacing w:after="0"/>
              <w:rPr>
                <w:sz w:val="20"/>
                <w:szCs w:val="20"/>
                <w:color w:val="auto"/>
              </w:rPr>
            </w:pPr>
            <w:r>
              <w:rPr>
                <w:rFonts w:ascii="Times New Roman" w:cs="Times New Roman" w:eastAsia="Times New Roman" w:hAnsi="Times New Roman"/>
                <w:sz w:val="16"/>
                <w:szCs w:val="16"/>
                <w:color w:val="auto"/>
              </w:rPr>
              <w:t>Accelerated filer</w:t>
            </w:r>
          </w:p>
        </w:tc>
        <w:tc>
          <w:tcPr>
            <w:tcW w:w="620" w:type="dxa"/>
            <w:vAlign w:val="bottom"/>
          </w:tcPr>
          <w:p>
            <w:pPr>
              <w:ind w:left="4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0"/>
        </w:trPr>
        <w:tc>
          <w:tcPr>
            <w:tcW w:w="220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340" w:type="dxa"/>
            <w:vAlign w:val="bottom"/>
          </w:tcPr>
          <w:p>
            <w:pPr>
              <w:ind w:left="420"/>
              <w:spacing w:after="0" w:line="161" w:lineRule="exact"/>
              <w:rPr>
                <w:sz w:val="20"/>
                <w:szCs w:val="20"/>
                <w:color w:val="auto"/>
              </w:rPr>
            </w:pPr>
            <w:r>
              <w:rPr>
                <w:rFonts w:ascii="MS PGothic" w:cs="MS PGothic" w:eastAsia="MS PGothic" w:hAnsi="MS PGothic"/>
                <w:sz w:val="16"/>
                <w:szCs w:val="16"/>
                <w:color w:val="auto"/>
              </w:rPr>
              <w:t>☐</w:t>
            </w:r>
          </w:p>
        </w:tc>
        <w:tc>
          <w:tcPr>
            <w:tcW w:w="5000" w:type="dxa"/>
            <w:vAlign w:val="bottom"/>
          </w:tcPr>
          <w:p>
            <w:pPr>
              <w:ind w:left="278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620" w:type="dxa"/>
            <w:vAlign w:val="bottom"/>
          </w:tcPr>
          <w:p>
            <w:pPr>
              <w:ind w:left="4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2200" w:type="dxa"/>
            <w:vAlign w:val="bottom"/>
          </w:tcPr>
          <w:p>
            <w:pPr>
              <w:spacing w:after="0"/>
              <w:rPr>
                <w:sz w:val="20"/>
                <w:szCs w:val="20"/>
                <w:color w:val="auto"/>
              </w:rPr>
            </w:pPr>
            <w:r>
              <w:rPr>
                <w:rFonts w:ascii="Times New Roman" w:cs="Times New Roman" w:eastAsia="Times New Roman" w:hAnsi="Times New Roman"/>
                <w:sz w:val="16"/>
                <w:szCs w:val="16"/>
                <w:color w:val="auto"/>
              </w:rPr>
              <w:t>Emerging growth company</w:t>
            </w:r>
          </w:p>
        </w:tc>
        <w:tc>
          <w:tcPr>
            <w:tcW w:w="3340" w:type="dxa"/>
            <w:vAlign w:val="bottom"/>
          </w:tcPr>
          <w:p>
            <w:pPr>
              <w:ind w:left="420"/>
              <w:spacing w:after="0" w:line="161" w:lineRule="exact"/>
              <w:rPr>
                <w:sz w:val="20"/>
                <w:szCs w:val="20"/>
                <w:color w:val="auto"/>
              </w:rPr>
            </w:pPr>
            <w:r>
              <w:rPr>
                <w:rFonts w:ascii="MS PGothic" w:cs="MS PGothic" w:eastAsia="MS PGothic" w:hAnsi="MS PGothic"/>
                <w:sz w:val="16"/>
                <w:szCs w:val="16"/>
                <w:color w:val="auto"/>
              </w:rPr>
              <w:t>☐</w:t>
            </w:r>
          </w:p>
        </w:tc>
        <w:tc>
          <w:tcPr>
            <w:tcW w:w="5000" w:type="dxa"/>
            <w:vAlign w:val="bottom"/>
          </w:tcPr>
          <w:p>
            <w:pPr>
              <w:spacing w:after="0"/>
              <w:rPr>
                <w:sz w:val="23"/>
                <w:szCs w:val="23"/>
                <w:color w:val="auto"/>
              </w:rPr>
            </w:pPr>
          </w:p>
        </w:tc>
        <w:tc>
          <w:tcPr>
            <w:tcW w:w="620" w:type="dxa"/>
            <w:vAlign w:val="bottom"/>
          </w:tcPr>
          <w:p>
            <w:pPr>
              <w:spacing w:after="0"/>
              <w:rPr>
                <w:sz w:val="23"/>
                <w:szCs w:val="23"/>
                <w:color w:val="auto"/>
              </w:rPr>
            </w:pPr>
          </w:p>
        </w:tc>
      </w:tr>
    </w:tbl>
    <w:p>
      <w:pPr>
        <w:spacing w:after="0" w:line="155" w:lineRule="exact"/>
        <w:rPr>
          <w:sz w:val="24"/>
          <w:szCs w:val="24"/>
          <w:color w:val="auto"/>
        </w:rPr>
      </w:pPr>
    </w:p>
    <w:p>
      <w:pPr>
        <w:ind w:left="520" w:right="60"/>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5" w:lineRule="exact"/>
        <w:rPr>
          <w:sz w:val="24"/>
          <w:szCs w:val="24"/>
          <w:color w:val="auto"/>
        </w:rPr>
      </w:pPr>
    </w:p>
    <w:p>
      <w:pPr>
        <w:ind w:left="520"/>
        <w:spacing w:after="0" w:line="184" w:lineRule="exact"/>
        <w:tabs>
          <w:tab w:leader="none" w:pos="8020" w:val="left"/>
          <w:tab w:leader="none" w:pos="8660" w:val="left"/>
        </w:tabs>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Exchange Act).</w:t>
        <w:tab/>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No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922020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The number of shares of the registrant’s common stock, $0.01 par value per share, outstanding as of December 4, 2025 was 38,481,095.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1079500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342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139"/>
          </w:cols>
          <w:pgMar w:left="320" w:top="769" w:right="1440"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SPORTSMAN’S WAREHOUSE HOLDINGS,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0220" w:type="dxa"/>
            <w:vAlign w:val="bottom"/>
            <w:gridSpan w:val="24"/>
            <w:vMerge w:val="restart"/>
          </w:tcPr>
          <w:p>
            <w:pPr>
              <w:spacing w:after="0"/>
              <w:rPr>
                <w:sz w:val="20"/>
                <w:szCs w:val="20"/>
                <w:color w:val="auto"/>
              </w:rPr>
            </w:pPr>
            <w:r>
              <w:rPr>
                <w:rFonts w:ascii="Times New Roman" w:cs="Times New Roman" w:eastAsia="Times New Roman" w:hAnsi="Times New Roman"/>
                <w:sz w:val="18"/>
                <w:szCs w:val="18"/>
                <w:b w:val="1"/>
                <w:bCs w:val="1"/>
                <w:color w:val="0000FF"/>
              </w:rPr>
              <w:t>PART I. FINANCIAL INFORMATION</w:t>
            </w:r>
          </w:p>
        </w:tc>
        <w:tc>
          <w:tcPr>
            <w:tcW w:w="102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69"/>
        </w:trPr>
        <w:tc>
          <w:tcPr>
            <w:tcW w:w="10220" w:type="dxa"/>
            <w:vAlign w:val="bottom"/>
            <w:gridSpan w:val="24"/>
            <w:vMerge w:val="continue"/>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5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auto"/>
                <w:w w:val="97"/>
              </w:rPr>
              <w:t>Item 1.</w:t>
            </w:r>
          </w:p>
        </w:tc>
        <w:tc>
          <w:tcPr>
            <w:tcW w:w="400" w:type="dxa"/>
            <w:vAlign w:val="bottom"/>
            <w:gridSpan w:val="2"/>
          </w:tcPr>
          <w:p>
            <w:pPr>
              <w:spacing w:after="0"/>
              <w:rPr>
                <w:sz w:val="24"/>
                <w:szCs w:val="24"/>
                <w:color w:val="auto"/>
              </w:rPr>
            </w:pPr>
          </w:p>
        </w:tc>
        <w:tc>
          <w:tcPr>
            <w:tcW w:w="244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9"/>
              </w:rPr>
              <w:t>Financial Statements (unaudited):</w:t>
            </w:r>
          </w:p>
        </w:tc>
        <w:tc>
          <w:tcPr>
            <w:tcW w:w="6860" w:type="dxa"/>
            <w:vAlign w:val="bottom"/>
            <w:gridSpan w:val="11"/>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41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94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9"/>
              </w:rPr>
              <w:t>Condensed Consolidated Balance Sheets</w:t>
            </w:r>
          </w:p>
        </w:tc>
        <w:tc>
          <w:tcPr>
            <w:tcW w:w="20" w:type="dxa"/>
            <w:vAlign w:val="bottom"/>
            <w:tcBorders>
              <w:bottom w:val="single" w:sz="8" w:color="0000EE"/>
            </w:tcBorders>
          </w:tcPr>
          <w:p>
            <w:pPr>
              <w:spacing w:after="0"/>
              <w:rPr>
                <w:sz w:val="24"/>
                <w:szCs w:val="24"/>
                <w:color w:val="auto"/>
              </w:rPr>
            </w:pPr>
          </w:p>
        </w:tc>
        <w:tc>
          <w:tcPr>
            <w:tcW w:w="6340" w:type="dxa"/>
            <w:vAlign w:val="bottom"/>
            <w:gridSpan w:val="9"/>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41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30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Condensed Consolidated Statements of Operations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360" w:type="dxa"/>
            <w:vAlign w:val="bottom"/>
            <w:tcBorders>
              <w:right w:val="single" w:sz="8" w:color="0000EE"/>
            </w:tcBorders>
            <w:gridSpan w:val="4"/>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40" w:type="dxa"/>
            <w:vAlign w:val="bottom"/>
            <w:tcBorders>
              <w:bottom w:val="single" w:sz="8" w:color="0000EE"/>
            </w:tcBorders>
            <w:gridSpan w:val="19"/>
          </w:tcPr>
          <w:p>
            <w:pPr>
              <w:spacing w:after="0"/>
              <w:rPr>
                <w:sz w:val="20"/>
                <w:szCs w:val="20"/>
                <w:color w:val="auto"/>
              </w:rPr>
            </w:pPr>
            <w:r>
              <w:rPr>
                <w:rFonts w:ascii="Times New Roman" w:cs="Times New Roman" w:eastAsia="Times New Roman" w:hAnsi="Times New Roman"/>
                <w:sz w:val="18"/>
                <w:szCs w:val="18"/>
                <w:color w:val="0000FF"/>
              </w:rPr>
              <w:t>Condensed Consolidated Statements of Stockholders’ Equity</w:t>
            </w:r>
          </w:p>
        </w:tc>
        <w:tc>
          <w:tcPr>
            <w:tcW w:w="4860" w:type="dxa"/>
            <w:vAlign w:val="bottom"/>
            <w:gridSpan w:val="2"/>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41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72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Cash Flows</w:t>
            </w:r>
          </w:p>
        </w:tc>
        <w:tc>
          <w:tcPr>
            <w:tcW w:w="20" w:type="dxa"/>
            <w:vAlign w:val="bottom"/>
            <w:tcBorders>
              <w:bottom w:val="single" w:sz="8" w:color="0000EE"/>
            </w:tcBorders>
          </w:tcPr>
          <w:p>
            <w:pPr>
              <w:spacing w:after="0"/>
              <w:rPr>
                <w:sz w:val="24"/>
                <w:szCs w:val="24"/>
                <w:color w:val="auto"/>
              </w:rPr>
            </w:pPr>
          </w:p>
        </w:tc>
        <w:tc>
          <w:tcPr>
            <w:tcW w:w="5560" w:type="dxa"/>
            <w:vAlign w:val="bottom"/>
            <w:gridSpan w:val="6"/>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41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9"/>
              </w:rPr>
              <w:t>Notes to Condensed Consolidated Financial Statements</w:t>
            </w:r>
          </w:p>
        </w:tc>
        <w:tc>
          <w:tcPr>
            <w:tcW w:w="5300" w:type="dxa"/>
            <w:vAlign w:val="bottom"/>
            <w:gridSpan w:val="5"/>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412"/>
        </w:trPr>
        <w:tc>
          <w:tcPr>
            <w:tcW w:w="5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auto"/>
                <w:w w:val="97"/>
              </w:rPr>
              <w:t>Item 2.</w:t>
            </w:r>
          </w:p>
        </w:tc>
        <w:tc>
          <w:tcPr>
            <w:tcW w:w="400" w:type="dxa"/>
            <w:vAlign w:val="bottom"/>
            <w:gridSpan w:val="2"/>
          </w:tcPr>
          <w:p>
            <w:pPr>
              <w:spacing w:after="0"/>
              <w:rPr>
                <w:sz w:val="24"/>
                <w:szCs w:val="24"/>
                <w:color w:val="auto"/>
              </w:rPr>
            </w:pPr>
          </w:p>
        </w:tc>
        <w:tc>
          <w:tcPr>
            <w:tcW w:w="6480" w:type="dxa"/>
            <w:vAlign w:val="bottom"/>
            <w:tcBorders>
              <w:bottom w:val="single" w:sz="8" w:color="0000FF"/>
            </w:tcBorders>
            <w:gridSpan w:val="20"/>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28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412"/>
        </w:trPr>
        <w:tc>
          <w:tcPr>
            <w:tcW w:w="5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auto"/>
                <w:w w:val="97"/>
              </w:rPr>
              <w:t>Item 3.</w:t>
            </w:r>
          </w:p>
        </w:tc>
        <w:tc>
          <w:tcPr>
            <w:tcW w:w="400" w:type="dxa"/>
            <w:vAlign w:val="bottom"/>
            <w:gridSpan w:val="2"/>
          </w:tcPr>
          <w:p>
            <w:pPr>
              <w:spacing w:after="0"/>
              <w:rPr>
                <w:sz w:val="24"/>
                <w:szCs w:val="24"/>
                <w:color w:val="auto"/>
              </w:rPr>
            </w:pPr>
          </w:p>
        </w:tc>
        <w:tc>
          <w:tcPr>
            <w:tcW w:w="438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4920" w:type="dxa"/>
            <w:vAlign w:val="bottom"/>
            <w:gridSpan w:val="3"/>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412"/>
        </w:trPr>
        <w:tc>
          <w:tcPr>
            <w:tcW w:w="5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auto"/>
                <w:w w:val="97"/>
              </w:rPr>
              <w:t>Item 4.</w:t>
            </w:r>
          </w:p>
        </w:tc>
        <w:tc>
          <w:tcPr>
            <w:tcW w:w="400" w:type="dxa"/>
            <w:vAlign w:val="bottom"/>
            <w:gridSpan w:val="2"/>
          </w:tcPr>
          <w:p>
            <w:pPr>
              <w:spacing w:after="0"/>
              <w:rPr>
                <w:sz w:val="24"/>
                <w:szCs w:val="24"/>
                <w:color w:val="auto"/>
              </w:rPr>
            </w:pPr>
          </w:p>
        </w:tc>
        <w:tc>
          <w:tcPr>
            <w:tcW w:w="178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Controls and Procedures</w:t>
            </w:r>
          </w:p>
        </w:tc>
        <w:tc>
          <w:tcPr>
            <w:tcW w:w="7520" w:type="dxa"/>
            <w:vAlign w:val="bottom"/>
            <w:gridSpan w:val="15"/>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412"/>
        </w:trPr>
        <w:tc>
          <w:tcPr>
            <w:tcW w:w="10220" w:type="dxa"/>
            <w:vAlign w:val="bottom"/>
            <w:gridSpan w:val="24"/>
          </w:tcPr>
          <w:p>
            <w:pPr>
              <w:spacing w:after="0"/>
              <w:rPr>
                <w:sz w:val="20"/>
                <w:szCs w:val="20"/>
                <w:color w:val="auto"/>
              </w:rPr>
            </w:pPr>
            <w:r>
              <w:rPr>
                <w:rFonts w:ascii="Times New Roman" w:cs="Times New Roman" w:eastAsia="Times New Roman" w:hAnsi="Times New Roman"/>
                <w:sz w:val="18"/>
                <w:szCs w:val="18"/>
                <w:b w:val="1"/>
                <w:bCs w:val="1"/>
                <w:color w:val="0000FF"/>
              </w:rPr>
              <w:t>PART II. OTHER INFORMATION</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520" w:type="dxa"/>
            <w:vAlign w:val="bottom"/>
            <w:tcBorders>
              <w:top w:val="single" w:sz="8" w:color="0000FF"/>
              <w:bottom w:val="single" w:sz="8" w:color="0000EE"/>
            </w:tcBorders>
          </w:tcPr>
          <w:p>
            <w:pPr>
              <w:spacing w:after="0"/>
              <w:rPr>
                <w:sz w:val="20"/>
                <w:szCs w:val="20"/>
                <w:color w:val="auto"/>
              </w:rPr>
            </w:pPr>
            <w:r>
              <w:rPr>
                <w:rFonts w:ascii="Times New Roman" w:cs="Times New Roman" w:eastAsia="Times New Roman" w:hAnsi="Times New Roman"/>
                <w:sz w:val="18"/>
                <w:szCs w:val="18"/>
                <w:color w:val="auto"/>
                <w:w w:val="97"/>
              </w:rPr>
              <w:t>Item 1.</w:t>
            </w:r>
          </w:p>
        </w:tc>
        <w:tc>
          <w:tcPr>
            <w:tcW w:w="400" w:type="dxa"/>
            <w:vAlign w:val="bottom"/>
            <w:tcBorders>
              <w:top w:val="single" w:sz="8" w:color="0000FF"/>
            </w:tcBorders>
            <w:gridSpan w:val="2"/>
          </w:tcPr>
          <w:p>
            <w:pPr>
              <w:spacing w:after="0"/>
              <w:rPr>
                <w:sz w:val="24"/>
                <w:szCs w:val="24"/>
                <w:color w:val="auto"/>
              </w:rPr>
            </w:pPr>
          </w:p>
        </w:tc>
        <w:tc>
          <w:tcPr>
            <w:tcW w:w="1340" w:type="dxa"/>
            <w:vAlign w:val="bottom"/>
            <w:tcBorders>
              <w:top w:val="single" w:sz="8" w:color="0000FF"/>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8"/>
              </w:rPr>
              <w:t>Legal Proceedings</w:t>
            </w:r>
          </w:p>
        </w:tc>
        <w:tc>
          <w:tcPr>
            <w:tcW w:w="540" w:type="dxa"/>
            <w:vAlign w:val="bottom"/>
            <w:tcBorders>
              <w:top w:val="single" w:sz="8" w:color="0000FF"/>
            </w:tcBorders>
            <w:gridSpan w:val="2"/>
          </w:tcPr>
          <w:p>
            <w:pPr>
              <w:spacing w:after="0"/>
              <w:rPr>
                <w:sz w:val="24"/>
                <w:szCs w:val="24"/>
                <w:color w:val="auto"/>
              </w:rPr>
            </w:pPr>
          </w:p>
        </w:tc>
        <w:tc>
          <w:tcPr>
            <w:tcW w:w="7420" w:type="dxa"/>
            <w:vAlign w:val="bottom"/>
            <w:gridSpan w:val="14"/>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412"/>
        </w:trPr>
        <w:tc>
          <w:tcPr>
            <w:tcW w:w="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1A.</w:t>
            </w:r>
          </w:p>
        </w:tc>
        <w:tc>
          <w:tcPr>
            <w:tcW w:w="930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0"/>
        </w:trPr>
        <w:tc>
          <w:tcPr>
            <w:tcW w:w="64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2040" w:type="dxa"/>
            <w:vAlign w:val="bottom"/>
            <w:gridSpan w:val="8"/>
          </w:tcPr>
          <w:p>
            <w:pPr>
              <w:spacing w:after="0" w:line="20" w:lineRule="exact"/>
              <w:rPr>
                <w:sz w:val="1"/>
                <w:szCs w:val="1"/>
                <w:color w:val="auto"/>
              </w:rPr>
            </w:pPr>
          </w:p>
        </w:tc>
        <w:tc>
          <w:tcPr>
            <w:tcW w:w="4940" w:type="dxa"/>
            <w:vAlign w:val="bottom"/>
            <w:gridSpan w:val="4"/>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280" w:type="dxa"/>
            <w:vAlign w:val="bottom"/>
          </w:tcPr>
          <w:p>
            <w:pPr>
              <w:spacing w:after="0"/>
              <w:rPr>
                <w:sz w:val="24"/>
                <w:szCs w:val="24"/>
                <w:color w:val="auto"/>
              </w:rPr>
            </w:pPr>
          </w:p>
        </w:tc>
        <w:tc>
          <w:tcPr>
            <w:tcW w:w="436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w w:val="99"/>
              </w:rPr>
              <w:t>Unregistered Sales of Equity Securities and Use of Proceeds</w:t>
            </w:r>
          </w:p>
        </w:tc>
        <w:tc>
          <w:tcPr>
            <w:tcW w:w="4940" w:type="dxa"/>
            <w:vAlign w:val="bottom"/>
            <w:gridSpan w:val="4"/>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412"/>
        </w:trPr>
        <w:tc>
          <w:tcPr>
            <w:tcW w:w="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3.</w:t>
            </w:r>
          </w:p>
        </w:tc>
        <w:tc>
          <w:tcPr>
            <w:tcW w:w="930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412"/>
        </w:trPr>
        <w:tc>
          <w:tcPr>
            <w:tcW w:w="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top w:val="single" w:sz="8" w:color="0000FF"/>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Mine Safety Disclosures</w:t>
            </w:r>
          </w:p>
        </w:tc>
        <w:tc>
          <w:tcPr>
            <w:tcW w:w="540" w:type="dxa"/>
            <w:vAlign w:val="bottom"/>
            <w:tcBorders>
              <w:top w:val="single" w:sz="8" w:color="0000FF"/>
            </w:tcBorders>
            <w:gridSpan w:val="3"/>
          </w:tcPr>
          <w:p>
            <w:pPr>
              <w:spacing w:after="0"/>
              <w:rPr>
                <w:sz w:val="24"/>
                <w:szCs w:val="24"/>
                <w:color w:val="auto"/>
              </w:rPr>
            </w:pPr>
          </w:p>
        </w:tc>
        <w:tc>
          <w:tcPr>
            <w:tcW w:w="6980" w:type="dxa"/>
            <w:vAlign w:val="bottom"/>
            <w:gridSpan w:val="12"/>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412"/>
        </w:trPr>
        <w:tc>
          <w:tcPr>
            <w:tcW w:w="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5.</w:t>
            </w:r>
          </w:p>
        </w:tc>
        <w:tc>
          <w:tcPr>
            <w:tcW w:w="132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8"/>
              </w:rPr>
              <w:t>Other Information</w:t>
            </w:r>
          </w:p>
        </w:tc>
        <w:tc>
          <w:tcPr>
            <w:tcW w:w="7980" w:type="dxa"/>
            <w:vAlign w:val="bottom"/>
            <w:gridSpan w:val="17"/>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41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w w:val="97"/>
              </w:rPr>
              <w:t>Item 6.</w:t>
            </w:r>
          </w:p>
        </w:tc>
        <w:tc>
          <w:tcPr>
            <w:tcW w:w="400" w:type="dxa"/>
            <w:vAlign w:val="bottom"/>
            <w:gridSpan w:val="2"/>
          </w:tcPr>
          <w:p>
            <w:pPr>
              <w:spacing w:after="0"/>
              <w:rPr>
                <w:sz w:val="24"/>
                <w:szCs w:val="24"/>
                <w:color w:val="auto"/>
              </w:rPr>
            </w:pPr>
          </w:p>
        </w:tc>
        <w:tc>
          <w:tcPr>
            <w:tcW w:w="930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Exhibits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520" w:type="dxa"/>
            <w:vAlign w:val="bottom"/>
            <w:gridSpan w:val="19"/>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30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80" w:type="dxa"/>
            <w:vAlign w:val="bottom"/>
            <w:tcBorders>
              <w:right w:val="single" w:sz="8" w:color="0000EE"/>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We operate on a fiscal calendar that, in a given fiscal year, consists of the 52- or 53-week period ending on the Saturday closest to January 31st. Our third fiscal quarters for fiscal year 2025 and fiscal year 2024 ended on November 1, 2025 and November 2, 2024, respectively. Both quarters consisted of 13 weeks and are referred to herein as the third quarter of fiscal year 2025 and the third quarter of fiscal year 2024, respectively. Fiscal year 2025 contains 52 weeks of operations and will end on January 31, 2026. Fiscal year 2024 contained 52 weeks of operations and ended on February 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867410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References throughout this document to “Sportsman’s Warehouse,” “we,” “us,” and “our” refer to Sportsman’s Warehouse Holdings, Inc. and its subsidiaries, and references to “Holdings” refer to Sportsman’s Warehouse Holdings, Inc. excluding its subsidiaries. References to (i) “fiscal year 2025” refer to our fiscal year ending January 31, 2026; and (ii) “fiscal year 2024” refer to our fiscal year ended February 1, 2025.</w:t>
      </w:r>
    </w:p>
    <w:p>
      <w:pPr>
        <w:spacing w:after="0" w:line="19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SPECIAL NOTE REGARDING FORWARD-LOOKING STATEMENTS</w:t>
      </w:r>
    </w:p>
    <w:p>
      <w:pPr>
        <w:spacing w:after="0" w:line="133"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i w:val="1"/>
          <w:iCs w:val="1"/>
          <w:color w:val="auto"/>
        </w:rPr>
        <w:t>This Quarterly Report on Form 10-Q (this “10-Q”) contains statements that constitute forward-looking statements as that term is defined by the Private Securities Litigation Reform Act of 1995. These statements concern our business, operations and financial performance and condition as well as our plans, objectives and expectations for our business operations and financial performance and condition, which are subject to risks and uncertainties. All statements other than statements of historical fact included in this 10-Q are forward-looking statements. These statements may include words such as “aim,” “anticipate,” “assume,” “believe,” “can have,” “could,” “due,” “estimate,” “expect,” “goal,” “intend,” “likely,” “may,” “objective,” “plan,” “positioned,” “potential,” “predict,” “should,” “target,” “will,” “would” and other words and terms of similar meaning in connection with any discussion of the timing or nature of future operating or financial performance or other events or trends. For example, all statements we make relating to our plans and objectives for future operations, growth or initiatives and strategies are forward-looking statements.</w:t>
      </w:r>
    </w:p>
    <w:p>
      <w:pPr>
        <w:spacing w:after="0" w:line="7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i w:val="1"/>
          <w:iCs w:val="1"/>
          <w:color w:val="auto"/>
        </w:rPr>
        <w:t>These forward-looking statements are based on current expectations, estimates, forecasts and projections about our business and the industry in which we operate and our management’s beliefs and assumptions. We derive many of our forward-looking statements from our own operating budgets and forecasts, which are based upon many detailed assumptions. While we believe that our assumptions are reasonable, we caution that predicting the impact of known factors is very difficult, and we cannot anticipate all factors that could affect our actual results.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All of our forward-looking statements are subject to risks and uncertainties that may cause our actual results to differ materially from our expectations.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Important factors that could cause actual results to differ materially from our expectations include, but are not limited to:</w:t>
      </w:r>
    </w:p>
    <w:p>
      <w:pPr>
        <w:spacing w:after="0" w:line="97" w:lineRule="exact"/>
        <w:rPr>
          <w:sz w:val="20"/>
          <w:szCs w:val="20"/>
          <w:color w:val="auto"/>
        </w:rPr>
      </w:pPr>
    </w:p>
    <w:p>
      <w:pPr>
        <w:ind w:left="760" w:right="400" w:hanging="378"/>
        <w:spacing w:after="0" w:line="284"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current and future government regulations, in particular regulations relating to the sale of firearms and ammunition, which may impact the supply and demand for our products and our ability to conduct our business;</w:t>
      </w:r>
    </w:p>
    <w:p>
      <w:pPr>
        <w:spacing w:after="0" w:line="50" w:lineRule="exact"/>
        <w:rPr>
          <w:rFonts w:ascii="Times New Roman" w:cs="Times New Roman" w:eastAsia="Times New Roman" w:hAnsi="Times New Roman"/>
          <w:sz w:val="18"/>
          <w:szCs w:val="18"/>
          <w:color w:val="auto"/>
        </w:rPr>
      </w:pPr>
    </w:p>
    <w:p>
      <w:pPr>
        <w:ind w:left="760" w:right="940" w:hanging="378"/>
        <w:spacing w:after="0" w:line="284"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retail-based business model which is impacted by general economic and market conditions, and economic, market and financial uncertainties that may cause a decline in consumer spending;</w:t>
      </w:r>
    </w:p>
    <w:p>
      <w:pPr>
        <w:spacing w:after="0" w:line="50" w:lineRule="exact"/>
        <w:rPr>
          <w:rFonts w:ascii="Times New Roman" w:cs="Times New Roman" w:eastAsia="Times New Roman" w:hAnsi="Times New Roman"/>
          <w:sz w:val="18"/>
          <w:szCs w:val="18"/>
          <w:color w:val="auto"/>
        </w:rPr>
      </w:pPr>
    </w:p>
    <w:p>
      <w:pPr>
        <w:ind w:left="760" w:right="260" w:hanging="378"/>
        <w:spacing w:after="0" w:line="284"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concentration of stores in the Western United States which makes us susceptible to adverse conditions in this region, and could affect our sales and cause our operating results to suffer;</w:t>
      </w:r>
    </w:p>
    <w:p>
      <w:pPr>
        <w:spacing w:after="0" w:line="50"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highly fragmented and competitive industry in which we operate and the potential for increased competition;</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changes in consumer demands, including regional preferences, which we may not be able to identify and respond to in a timely manner;</w:t>
      </w:r>
    </w:p>
    <w:p>
      <w:pPr>
        <w:spacing w:after="0" w:line="117" w:lineRule="exact"/>
        <w:rPr>
          <w:rFonts w:ascii="Times New Roman" w:cs="Times New Roman" w:eastAsia="Times New Roman" w:hAnsi="Times New Roman"/>
          <w:sz w:val="18"/>
          <w:szCs w:val="18"/>
          <w:color w:val="auto"/>
        </w:rPr>
      </w:pPr>
    </w:p>
    <w:p>
      <w:pPr>
        <w:ind w:left="760" w:right="120" w:hanging="378"/>
        <w:spacing w:after="0" w:line="284"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entrance into new markets or operations in existing markets, including our plans to open additional stores in future periods, which may not be successful;</w:t>
      </w:r>
    </w:p>
    <w:p>
      <w:pPr>
        <w:spacing w:after="0" w:line="50" w:lineRule="exact"/>
        <w:rPr>
          <w:rFonts w:ascii="Times New Roman" w:cs="Times New Roman" w:eastAsia="Times New Roman" w:hAnsi="Times New Roman"/>
          <w:sz w:val="18"/>
          <w:szCs w:val="18"/>
          <w:color w:val="auto"/>
        </w:rPr>
      </w:pPr>
    </w:p>
    <w:p>
      <w:pPr>
        <w:ind w:left="760" w:right="240" w:hanging="378"/>
        <w:spacing w:after="0" w:line="284"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implementation of a plan to reduce expenses in response to adverse macroeconomic conditions, including an increased focus on financial discipline and rigor throughout our organization; and</w:t>
      </w:r>
    </w:p>
    <w:p>
      <w:pPr>
        <w:spacing w:after="0" w:line="50" w:lineRule="exact"/>
        <w:rPr>
          <w:rFonts w:ascii="Times New Roman" w:cs="Times New Roman" w:eastAsia="Times New Roman" w:hAnsi="Times New Roman"/>
          <w:sz w:val="18"/>
          <w:szCs w:val="18"/>
          <w:color w:val="auto"/>
        </w:rPr>
      </w:pPr>
    </w:p>
    <w:p>
      <w:pPr>
        <w:ind w:left="760" w:right="440" w:hanging="378"/>
        <w:spacing w:after="0" w:line="284"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impact of general macroeconomic conditions, such as labor shortages, inflation, elevated interest rates, the impacts of tariffs and trade disputes, economic slowdowns, and recessions or market corrections.</w:t>
      </w:r>
    </w:p>
    <w:p>
      <w:pPr>
        <w:spacing w:after="0" w:line="64"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i w:val="1"/>
          <w:iCs w:val="1"/>
          <w:color w:val="auto"/>
        </w:rPr>
        <w:t>The above is not a complete list of factors or events that could cause actual results to differ from our expectations, and we cannot predict all of them. All written and oral forward-looking statements attributable to us, or persons acting on our behalf, are expressly qualified in their entirety by the cautionary statements disclosed under “Part I., Item 1A., Risk Factors,” appearing in our Annual Report on Form 10-K for the fiscal year ended February 1, 2025 (our “Fiscal 2024 Form 10-K”) and “Part I., Item 2., Management’s Discussion and Analysis of Financial</w:t>
      </w: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i w:val="1"/>
          <w:iCs w:val="1"/>
          <w:color w:val="auto"/>
        </w:rPr>
        <w:t>Condition and Results of Operations” and elsewhere in this 10-Q, as such disclosures may be amended, supplemented or superseded from time to time by other reports we file with the Securities and Exchange Commission (the “SEC”), including subsequent Annual Reports on Form 10-K and Quarterly Reports on Form 10-Q, and public communications. You should evaluate all forward-looking statements made in this 10-Q and otherwise in the context of these risks and uncertainties.</w:t>
      </w:r>
    </w:p>
    <w:p>
      <w:pPr>
        <w:spacing w:after="0" w:line="18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i w:val="1"/>
          <w:iCs w:val="1"/>
          <w:color w:val="auto"/>
        </w:rPr>
        <w:t>Potential investors and other readers are urged to consider these factors carefully in evaluating the forward-looking statements and are cautioned not to place undue reliance on any forward-looking statements we make. These forward-looking statements speak only as of the date of this 10-Q and are not guarantees of future performance or developments and involve known and unknown risks, uncertainties and other factors that are in many cases beyond our control. Except as required by law, we undertake no obligation to update or revise any forward-looking statements publicly, whether as a result of new information, future developments or otherwise.</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9" w:right="37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374" w:lineRule="exact"/>
        <w:rPr>
          <w:sz w:val="20"/>
          <w:szCs w:val="20"/>
          <w:color w:val="auto"/>
        </w:rPr>
      </w:pPr>
    </w:p>
    <w:p>
      <w:pPr>
        <w:jc w:val="center"/>
        <w:ind w:right="40"/>
        <w:spacing w:after="0" w:line="265" w:lineRule="auto"/>
        <w:rPr>
          <w:sz w:val="20"/>
          <w:szCs w:val="20"/>
          <w:color w:val="auto"/>
        </w:rPr>
      </w:pPr>
      <w:r>
        <w:rPr>
          <w:rFonts w:ascii="Times New Roman" w:cs="Times New Roman" w:eastAsia="Times New Roman" w:hAnsi="Times New Roman"/>
          <w:sz w:val="18"/>
          <w:szCs w:val="18"/>
          <w:b w:val="1"/>
          <w:bCs w:val="1"/>
          <w:color w:val="auto"/>
        </w:rPr>
        <w:t>SPORTSMAN’S WAREHOUSE HOLDINGS, INC. AND SUBSIDIARIES CONDENSED CONSOLIDATED BALANCE SHEETS Amounts in Thousands, Except Par Value Data (unaudited)</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540" w:type="dxa"/>
            <w:vAlign w:val="bottom"/>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November 1,</w:t>
            </w: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4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February 1,</w:t>
            </w:r>
          </w:p>
        </w:tc>
      </w:tr>
      <w:tr>
        <w:trPr>
          <w:trHeight w:val="173"/>
        </w:trPr>
        <w:tc>
          <w:tcPr>
            <w:tcW w:w="71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ind w:right="691"/>
              <w:spacing w:after="0"/>
              <w:rPr>
                <w:sz w:val="20"/>
                <w:szCs w:val="20"/>
                <w:color w:val="auto"/>
              </w:rPr>
            </w:pPr>
            <w:r>
              <w:rPr>
                <w:rFonts w:ascii="Times New Roman" w:cs="Times New Roman" w:eastAsia="Times New Roman" w:hAnsi="Times New Roman"/>
                <w:sz w:val="14"/>
                <w:szCs w:val="14"/>
                <w:b w:val="1"/>
                <w:bCs w:val="1"/>
                <w:color w:val="auto"/>
              </w:rPr>
              <w:t>2025</w:t>
            </w:r>
          </w:p>
        </w:tc>
        <w:tc>
          <w:tcPr>
            <w:tcW w:w="3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ind w:right="71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r>
      <w:tr>
        <w:trPr>
          <w:trHeight w:val="210"/>
        </w:trPr>
        <w:tc>
          <w:tcPr>
            <w:tcW w:w="7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2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Current assets:</w:t>
            </w:r>
          </w:p>
        </w:tc>
        <w:tc>
          <w:tcPr>
            <w:tcW w:w="3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1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2,246</w:t>
            </w:r>
          </w:p>
        </w:tc>
        <w:tc>
          <w:tcPr>
            <w:tcW w:w="6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2,832</w:t>
            </w:r>
          </w:p>
        </w:tc>
        <w:tc>
          <w:tcPr>
            <w:tcW w:w="100" w:type="dxa"/>
            <w:vAlign w:val="bottom"/>
            <w:shd w:val="clear" w:color="auto" w:fill="CFF0FC"/>
          </w:tcPr>
          <w:p>
            <w:pPr>
              <w:spacing w:after="0"/>
              <w:rPr>
                <w:sz w:val="18"/>
                <w:szCs w:val="18"/>
                <w:color w:val="auto"/>
              </w:rPr>
            </w:pPr>
          </w:p>
        </w:tc>
      </w:tr>
      <w:tr>
        <w:trPr>
          <w:trHeight w:val="216"/>
        </w:trPr>
        <w:tc>
          <w:tcPr>
            <w:tcW w:w="71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Accounts receivable, net</w:t>
            </w:r>
          </w:p>
        </w:tc>
        <w:tc>
          <w:tcPr>
            <w:tcW w:w="3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5,064</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2,410</w:t>
            </w:r>
          </w:p>
        </w:tc>
        <w:tc>
          <w:tcPr>
            <w:tcW w:w="100" w:type="dxa"/>
            <w:vAlign w:val="bottom"/>
          </w:tcPr>
          <w:p>
            <w:pPr>
              <w:spacing w:after="0"/>
              <w:rPr>
                <w:sz w:val="18"/>
                <w:szCs w:val="18"/>
                <w:color w:val="auto"/>
              </w:rPr>
            </w:pPr>
          </w:p>
        </w:tc>
      </w:tr>
      <w:tr>
        <w:trPr>
          <w:trHeight w:val="216"/>
        </w:trPr>
        <w:tc>
          <w:tcPr>
            <w:tcW w:w="71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Merchandise inventories</w:t>
            </w:r>
          </w:p>
        </w:tc>
        <w:tc>
          <w:tcPr>
            <w:tcW w:w="32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423,968</w:t>
            </w:r>
          </w:p>
        </w:tc>
        <w:tc>
          <w:tcPr>
            <w:tcW w:w="3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341,958</w:t>
            </w:r>
          </w:p>
        </w:tc>
        <w:tc>
          <w:tcPr>
            <w:tcW w:w="100" w:type="dxa"/>
            <w:vAlign w:val="bottom"/>
            <w:shd w:val="clear" w:color="auto" w:fill="CFF0FC"/>
          </w:tcPr>
          <w:p>
            <w:pPr>
              <w:spacing w:after="0"/>
              <w:rPr>
                <w:sz w:val="18"/>
                <w:szCs w:val="18"/>
                <w:color w:val="auto"/>
              </w:rPr>
            </w:pPr>
          </w:p>
        </w:tc>
      </w:tr>
      <w:tr>
        <w:trPr>
          <w:trHeight w:val="216"/>
        </w:trPr>
        <w:tc>
          <w:tcPr>
            <w:tcW w:w="71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3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14,663</w:t>
            </w:r>
          </w:p>
        </w:tc>
        <w:tc>
          <w:tcPr>
            <w:tcW w:w="3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18,802</w:t>
            </w:r>
          </w:p>
        </w:tc>
        <w:tc>
          <w:tcPr>
            <w:tcW w:w="100" w:type="dxa"/>
            <w:vAlign w:val="bottom"/>
          </w:tcPr>
          <w:p>
            <w:pPr>
              <w:spacing w:after="0"/>
              <w:rPr>
                <w:sz w:val="18"/>
                <w:szCs w:val="18"/>
                <w:color w:val="auto"/>
              </w:rPr>
            </w:pPr>
          </w:p>
        </w:tc>
      </w:tr>
      <w:tr>
        <w:trPr>
          <w:trHeight w:val="209"/>
        </w:trPr>
        <w:tc>
          <w:tcPr>
            <w:tcW w:w="710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8"/>
                <w:szCs w:val="18"/>
                <w:color w:val="auto"/>
              </w:rPr>
              <w:t>Total current assets</w:t>
            </w:r>
          </w:p>
        </w:tc>
        <w:tc>
          <w:tcPr>
            <w:tcW w:w="32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445,941</w:t>
            </w:r>
          </w:p>
        </w:tc>
        <w:tc>
          <w:tcPr>
            <w:tcW w:w="3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366,002</w:t>
            </w:r>
          </w:p>
        </w:tc>
        <w:tc>
          <w:tcPr>
            <w:tcW w:w="100" w:type="dxa"/>
            <w:vAlign w:val="bottom"/>
            <w:shd w:val="clear" w:color="auto" w:fill="CFF0FC"/>
          </w:tcPr>
          <w:p>
            <w:pPr>
              <w:spacing w:after="0"/>
              <w:rPr>
                <w:sz w:val="18"/>
                <w:szCs w:val="18"/>
                <w:color w:val="auto"/>
              </w:rPr>
            </w:pPr>
          </w:p>
        </w:tc>
      </w:tr>
      <w:tr>
        <w:trPr>
          <w:trHeight w:val="216"/>
        </w:trPr>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right of use asset</w:t>
            </w:r>
          </w:p>
        </w:tc>
        <w:tc>
          <w:tcPr>
            <w:tcW w:w="3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306,872</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316,499</w:t>
            </w:r>
          </w:p>
        </w:tc>
        <w:tc>
          <w:tcPr>
            <w:tcW w:w="100" w:type="dxa"/>
            <w:vAlign w:val="bottom"/>
          </w:tcPr>
          <w:p>
            <w:pPr>
              <w:spacing w:after="0"/>
              <w:rPr>
                <w:sz w:val="18"/>
                <w:szCs w:val="18"/>
                <w:color w:val="auto"/>
              </w:rPr>
            </w:pPr>
          </w:p>
        </w:tc>
      </w:tr>
      <w:tr>
        <w:trPr>
          <w:trHeight w:val="216"/>
        </w:trPr>
        <w:tc>
          <w:tcPr>
            <w:tcW w:w="7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2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159,333</w:t>
            </w:r>
          </w:p>
        </w:tc>
        <w:tc>
          <w:tcPr>
            <w:tcW w:w="3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167,838</w:t>
            </w:r>
          </w:p>
        </w:tc>
        <w:tc>
          <w:tcPr>
            <w:tcW w:w="100" w:type="dxa"/>
            <w:vAlign w:val="bottom"/>
            <w:shd w:val="clear" w:color="auto" w:fill="CFF0FC"/>
          </w:tcPr>
          <w:p>
            <w:pPr>
              <w:spacing w:after="0"/>
              <w:rPr>
                <w:sz w:val="18"/>
                <w:szCs w:val="18"/>
                <w:color w:val="auto"/>
              </w:rPr>
            </w:pPr>
          </w:p>
        </w:tc>
      </w:tr>
      <w:tr>
        <w:trPr>
          <w:trHeight w:val="216"/>
        </w:trPr>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3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1,496</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1,496</w:t>
            </w:r>
          </w:p>
        </w:tc>
        <w:tc>
          <w:tcPr>
            <w:tcW w:w="100" w:type="dxa"/>
            <w:vAlign w:val="bottom"/>
          </w:tcPr>
          <w:p>
            <w:pPr>
              <w:spacing w:after="0"/>
              <w:rPr>
                <w:sz w:val="18"/>
                <w:szCs w:val="18"/>
                <w:color w:val="auto"/>
              </w:rPr>
            </w:pPr>
          </w:p>
        </w:tc>
      </w:tr>
      <w:tr>
        <w:trPr>
          <w:trHeight w:val="216"/>
        </w:trPr>
        <w:tc>
          <w:tcPr>
            <w:tcW w:w="71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Definite lived intangibles, net</w:t>
            </w:r>
          </w:p>
        </w:tc>
        <w:tc>
          <w:tcPr>
            <w:tcW w:w="320" w:type="dxa"/>
            <w:vAlign w:val="bottom"/>
            <w:tcBorders>
              <w:bottom w:val="single" w:sz="8" w:color="auto"/>
            </w:tcBorders>
            <w:shd w:val="clear" w:color="auto" w:fill="CFF0FC"/>
          </w:tcPr>
          <w:p>
            <w:pPr>
              <w:spacing w:after="0"/>
              <w:rPr>
                <w:sz w:val="18"/>
                <w:szCs w:val="18"/>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30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1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Total assets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913,867</w:t>
            </w:r>
          </w:p>
        </w:tc>
        <w:tc>
          <w:tcPr>
            <w:tcW w:w="6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852,102</w:t>
            </w:r>
          </w:p>
        </w:tc>
        <w:tc>
          <w:tcPr>
            <w:tcW w:w="100" w:type="dxa"/>
            <w:vAlign w:val="bottom"/>
          </w:tcPr>
          <w:p>
            <w:pPr>
              <w:spacing w:after="0"/>
              <w:rPr>
                <w:sz w:val="18"/>
                <w:szCs w:val="18"/>
                <w:color w:val="auto"/>
              </w:rPr>
            </w:pPr>
          </w:p>
        </w:tc>
      </w:tr>
      <w:tr>
        <w:trPr>
          <w:trHeight w:val="20"/>
        </w:trPr>
        <w:tc>
          <w:tcPr>
            <w:tcW w:w="7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7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32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3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1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Accounts payable</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63,271</w:t>
            </w:r>
          </w:p>
        </w:tc>
        <w:tc>
          <w:tcPr>
            <w:tcW w:w="6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64,041</w:t>
            </w:r>
          </w:p>
        </w:tc>
        <w:tc>
          <w:tcPr>
            <w:tcW w:w="100" w:type="dxa"/>
            <w:vAlign w:val="bottom"/>
            <w:shd w:val="clear" w:color="auto" w:fill="CFF0FC"/>
          </w:tcPr>
          <w:p>
            <w:pPr>
              <w:spacing w:after="0"/>
              <w:rPr>
                <w:sz w:val="18"/>
                <w:szCs w:val="18"/>
                <w:color w:val="auto"/>
              </w:rPr>
            </w:pPr>
          </w:p>
        </w:tc>
      </w:tr>
      <w:tr>
        <w:trPr>
          <w:trHeight w:val="216"/>
        </w:trPr>
        <w:tc>
          <w:tcPr>
            <w:tcW w:w="71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Accrued expenses</w:t>
            </w:r>
          </w:p>
        </w:tc>
        <w:tc>
          <w:tcPr>
            <w:tcW w:w="3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115,788</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95,946</w:t>
            </w:r>
          </w:p>
        </w:tc>
        <w:tc>
          <w:tcPr>
            <w:tcW w:w="100" w:type="dxa"/>
            <w:vAlign w:val="bottom"/>
          </w:tcPr>
          <w:p>
            <w:pPr>
              <w:spacing w:after="0"/>
              <w:rPr>
                <w:sz w:val="18"/>
                <w:szCs w:val="18"/>
                <w:color w:val="auto"/>
              </w:rPr>
            </w:pPr>
          </w:p>
        </w:tc>
      </w:tr>
      <w:tr>
        <w:trPr>
          <w:trHeight w:val="216"/>
        </w:trPr>
        <w:tc>
          <w:tcPr>
            <w:tcW w:w="71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Income taxes payable</w:t>
            </w:r>
          </w:p>
        </w:tc>
        <w:tc>
          <w:tcPr>
            <w:tcW w:w="32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3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00" w:type="dxa"/>
            <w:vAlign w:val="bottom"/>
            <w:shd w:val="clear" w:color="auto" w:fill="CFF0FC"/>
          </w:tcPr>
          <w:p>
            <w:pPr>
              <w:spacing w:after="0"/>
              <w:rPr>
                <w:sz w:val="18"/>
                <w:szCs w:val="18"/>
                <w:color w:val="auto"/>
              </w:rPr>
            </w:pPr>
          </w:p>
        </w:tc>
      </w:tr>
      <w:tr>
        <w:trPr>
          <w:trHeight w:val="216"/>
        </w:trPr>
        <w:tc>
          <w:tcPr>
            <w:tcW w:w="71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Operating lease liability, current</w:t>
            </w:r>
          </w:p>
        </w:tc>
        <w:tc>
          <w:tcPr>
            <w:tcW w:w="3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53,259</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49,128</w:t>
            </w:r>
          </w:p>
        </w:tc>
        <w:tc>
          <w:tcPr>
            <w:tcW w:w="100" w:type="dxa"/>
            <w:vAlign w:val="bottom"/>
          </w:tcPr>
          <w:p>
            <w:pPr>
              <w:spacing w:after="0"/>
              <w:rPr>
                <w:sz w:val="18"/>
                <w:szCs w:val="18"/>
                <w:color w:val="auto"/>
              </w:rPr>
            </w:pPr>
          </w:p>
        </w:tc>
      </w:tr>
      <w:tr>
        <w:trPr>
          <w:trHeight w:val="216"/>
        </w:trPr>
        <w:tc>
          <w:tcPr>
            <w:tcW w:w="710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Revolving line of credit</w:t>
            </w:r>
          </w:p>
        </w:tc>
        <w:tc>
          <w:tcPr>
            <w:tcW w:w="320" w:type="dxa"/>
            <w:vAlign w:val="bottom"/>
            <w:tcBorders>
              <w:bottom w:val="single" w:sz="8" w:color="auto"/>
            </w:tcBorders>
            <w:shd w:val="clear" w:color="auto" w:fill="CFF0FC"/>
          </w:tcPr>
          <w:p>
            <w:pPr>
              <w:spacing w:after="0"/>
              <w:rPr>
                <w:sz w:val="18"/>
                <w:szCs w:val="18"/>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137,902</w:t>
            </w:r>
          </w:p>
        </w:tc>
        <w:tc>
          <w:tcPr>
            <w:tcW w:w="30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74,654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1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370,426</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283,963</w:t>
            </w:r>
          </w:p>
        </w:tc>
        <w:tc>
          <w:tcPr>
            <w:tcW w:w="100" w:type="dxa"/>
            <w:vAlign w:val="bottom"/>
          </w:tcPr>
          <w:p>
            <w:pPr>
              <w:spacing w:after="0"/>
              <w:rPr>
                <w:sz w:val="18"/>
                <w:szCs w:val="18"/>
                <w:color w:val="auto"/>
              </w:rPr>
            </w:pPr>
          </w:p>
        </w:tc>
      </w:tr>
      <w:tr>
        <w:trPr>
          <w:trHeight w:val="216"/>
        </w:trPr>
        <w:tc>
          <w:tcPr>
            <w:tcW w:w="7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Long-term liabilities:</w:t>
            </w:r>
          </w:p>
        </w:tc>
        <w:tc>
          <w:tcPr>
            <w:tcW w:w="32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1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Deferred income taxes</w:t>
            </w:r>
          </w:p>
        </w:tc>
        <w:tc>
          <w:tcPr>
            <w:tcW w:w="3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946</w:t>
            </w:r>
          </w:p>
        </w:tc>
        <w:tc>
          <w:tcPr>
            <w:tcW w:w="100" w:type="dxa"/>
            <w:vAlign w:val="bottom"/>
          </w:tcPr>
          <w:p>
            <w:pPr>
              <w:spacing w:after="0"/>
              <w:rPr>
                <w:sz w:val="18"/>
                <w:szCs w:val="18"/>
                <w:color w:val="auto"/>
              </w:rPr>
            </w:pPr>
          </w:p>
        </w:tc>
      </w:tr>
      <w:tr>
        <w:trPr>
          <w:trHeight w:val="216"/>
        </w:trPr>
        <w:tc>
          <w:tcPr>
            <w:tcW w:w="71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Term loan, net</w:t>
            </w:r>
          </w:p>
        </w:tc>
        <w:tc>
          <w:tcPr>
            <w:tcW w:w="32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44,007</w:t>
            </w:r>
          </w:p>
        </w:tc>
        <w:tc>
          <w:tcPr>
            <w:tcW w:w="3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24,067</w:t>
            </w:r>
          </w:p>
        </w:tc>
        <w:tc>
          <w:tcPr>
            <w:tcW w:w="100" w:type="dxa"/>
            <w:vAlign w:val="bottom"/>
            <w:shd w:val="clear" w:color="auto" w:fill="CFF0FC"/>
          </w:tcPr>
          <w:p>
            <w:pPr>
              <w:spacing w:after="0"/>
              <w:rPr>
                <w:sz w:val="18"/>
                <w:szCs w:val="18"/>
                <w:color w:val="auto"/>
              </w:rPr>
            </w:pPr>
          </w:p>
        </w:tc>
      </w:tr>
      <w:tr>
        <w:trPr>
          <w:trHeight w:val="216"/>
        </w:trPr>
        <w:tc>
          <w:tcPr>
            <w:tcW w:w="71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Operating lease liability, noncurrent</w:t>
            </w:r>
          </w:p>
        </w:tc>
        <w:tc>
          <w:tcPr>
            <w:tcW w:w="3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289,916</w:t>
            </w:r>
          </w:p>
        </w:tc>
        <w:tc>
          <w:tcPr>
            <w:tcW w:w="3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307,422</w:t>
            </w:r>
          </w:p>
        </w:tc>
        <w:tc>
          <w:tcPr>
            <w:tcW w:w="100" w:type="dxa"/>
            <w:vAlign w:val="bottom"/>
          </w:tcPr>
          <w:p>
            <w:pPr>
              <w:spacing w:after="0"/>
              <w:rPr>
                <w:sz w:val="18"/>
                <w:szCs w:val="18"/>
                <w:color w:val="auto"/>
              </w:rPr>
            </w:pPr>
          </w:p>
        </w:tc>
      </w:tr>
      <w:tr>
        <w:trPr>
          <w:trHeight w:val="210"/>
        </w:trPr>
        <w:tc>
          <w:tcPr>
            <w:tcW w:w="7100" w:type="dxa"/>
            <w:vAlign w:val="bottom"/>
            <w:tcBorders>
              <w:bottom w:val="single" w:sz="8" w:color="CFF0FC"/>
            </w:tcBorders>
            <w:shd w:val="clear" w:color="auto" w:fill="CFF0FC"/>
          </w:tcPr>
          <w:p>
            <w:pPr>
              <w:ind w:left="400"/>
              <w:spacing w:after="0"/>
              <w:rPr>
                <w:sz w:val="20"/>
                <w:szCs w:val="20"/>
                <w:color w:val="auto"/>
              </w:rPr>
            </w:pPr>
            <w:r>
              <w:rPr>
                <w:rFonts w:ascii="Times New Roman" w:cs="Times New Roman" w:eastAsia="Times New Roman" w:hAnsi="Times New Roman"/>
                <w:sz w:val="18"/>
                <w:szCs w:val="18"/>
                <w:color w:val="auto"/>
              </w:rPr>
              <w:t>Total long-term liabilities</w:t>
            </w:r>
          </w:p>
        </w:tc>
        <w:tc>
          <w:tcPr>
            <w:tcW w:w="320" w:type="dxa"/>
            <w:vAlign w:val="bottom"/>
            <w:tcBorders>
              <w:bottom w:val="single" w:sz="8" w:color="auto"/>
            </w:tcBorders>
            <w:shd w:val="clear" w:color="auto" w:fill="CFF0FC"/>
          </w:tcPr>
          <w:p>
            <w:pPr>
              <w:spacing w:after="0"/>
              <w:rPr>
                <w:sz w:val="18"/>
                <w:szCs w:val="18"/>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333,923</w:t>
            </w:r>
          </w:p>
        </w:tc>
        <w:tc>
          <w:tcPr>
            <w:tcW w:w="30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332,435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1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Total liabilities</w:t>
            </w:r>
          </w:p>
        </w:tc>
        <w:tc>
          <w:tcPr>
            <w:tcW w:w="3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704,349</w:t>
            </w:r>
          </w:p>
        </w:tc>
        <w:tc>
          <w:tcPr>
            <w:tcW w:w="3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616,398</w:t>
            </w:r>
          </w:p>
        </w:tc>
        <w:tc>
          <w:tcPr>
            <w:tcW w:w="100" w:type="dxa"/>
            <w:vAlign w:val="bottom"/>
          </w:tcPr>
          <w:p>
            <w:pPr>
              <w:spacing w:after="0"/>
              <w:rPr>
                <w:sz w:val="18"/>
                <w:szCs w:val="18"/>
                <w:color w:val="auto"/>
              </w:rPr>
            </w:pPr>
          </w:p>
        </w:tc>
      </w:tr>
      <w:tr>
        <w:trPr>
          <w:trHeight w:val="210"/>
        </w:trPr>
        <w:tc>
          <w:tcPr>
            <w:tcW w:w="7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32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3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1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Preferred stock, $.01 par value; 20,000 shares authorized; 0 shares issued and outstanding</w:t>
            </w:r>
          </w:p>
        </w:tc>
        <w:tc>
          <w:tcPr>
            <w:tcW w:w="32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6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7100" w:type="dxa"/>
            <w:vAlign w:val="bottom"/>
          </w:tcPr>
          <w:p>
            <w:pPr>
              <w:ind w:left="260"/>
              <w:spacing w:after="0" w:line="198" w:lineRule="exact"/>
              <w:rPr>
                <w:sz w:val="20"/>
                <w:szCs w:val="20"/>
                <w:color w:val="auto"/>
              </w:rPr>
            </w:pPr>
            <w:r>
              <w:rPr>
                <w:rFonts w:ascii="Times New Roman" w:cs="Times New Roman" w:eastAsia="Times New Roman" w:hAnsi="Times New Roman"/>
                <w:sz w:val="18"/>
                <w:szCs w:val="18"/>
                <w:color w:val="auto"/>
              </w:rPr>
              <w:t>Common stock, $.01 par value; 100,000 shares authorized; 38,481 and 38,103 shares issued</w:t>
            </w:r>
          </w:p>
        </w:tc>
        <w:tc>
          <w:tcPr>
            <w:tcW w:w="3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71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and outstanding, respectively</w:t>
            </w:r>
          </w:p>
        </w:tc>
        <w:tc>
          <w:tcPr>
            <w:tcW w:w="32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100" w:type="dxa"/>
            <w:vAlign w:val="bottom"/>
          </w:tcPr>
          <w:p>
            <w:pPr>
              <w:spacing w:after="0"/>
              <w:rPr>
                <w:sz w:val="20"/>
                <w:szCs w:val="20"/>
                <w:color w:val="auto"/>
              </w:rPr>
            </w:pPr>
          </w:p>
        </w:tc>
      </w:tr>
      <w:tr>
        <w:trPr>
          <w:trHeight w:val="216"/>
        </w:trPr>
        <w:tc>
          <w:tcPr>
            <w:tcW w:w="71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2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88,138</w:t>
            </w:r>
          </w:p>
        </w:tc>
        <w:tc>
          <w:tcPr>
            <w:tcW w:w="3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86,000</w:t>
            </w:r>
          </w:p>
        </w:tc>
        <w:tc>
          <w:tcPr>
            <w:tcW w:w="100" w:type="dxa"/>
            <w:vAlign w:val="bottom"/>
            <w:shd w:val="clear" w:color="auto" w:fill="CFF0FC"/>
          </w:tcPr>
          <w:p>
            <w:pPr>
              <w:spacing w:after="0"/>
              <w:rPr>
                <w:sz w:val="18"/>
                <w:szCs w:val="18"/>
                <w:color w:val="auto"/>
              </w:rPr>
            </w:pPr>
          </w:p>
        </w:tc>
      </w:tr>
      <w:tr>
        <w:trPr>
          <w:trHeight w:val="216"/>
        </w:trPr>
        <w:tc>
          <w:tcPr>
            <w:tcW w:w="71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Accumulated earnings</w:t>
            </w:r>
          </w:p>
        </w:tc>
        <w:tc>
          <w:tcPr>
            <w:tcW w:w="3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120,995</w:t>
            </w:r>
          </w:p>
        </w:tc>
        <w:tc>
          <w:tcPr>
            <w:tcW w:w="3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149,324</w:t>
            </w:r>
          </w:p>
        </w:tc>
        <w:tc>
          <w:tcPr>
            <w:tcW w:w="100" w:type="dxa"/>
            <w:vAlign w:val="bottom"/>
          </w:tcPr>
          <w:p>
            <w:pPr>
              <w:spacing w:after="0"/>
              <w:rPr>
                <w:sz w:val="18"/>
                <w:szCs w:val="18"/>
                <w:color w:val="auto"/>
              </w:rPr>
            </w:pPr>
          </w:p>
        </w:tc>
      </w:tr>
      <w:tr>
        <w:trPr>
          <w:trHeight w:val="210"/>
        </w:trPr>
        <w:tc>
          <w:tcPr>
            <w:tcW w:w="7100" w:type="dxa"/>
            <w:vAlign w:val="bottom"/>
            <w:tcBorders>
              <w:bottom w:val="single" w:sz="8" w:color="CFF0FC"/>
            </w:tcBorders>
            <w:shd w:val="clear" w:color="auto" w:fill="CFF0FC"/>
          </w:tcPr>
          <w:p>
            <w:pPr>
              <w:ind w:left="40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20" w:type="dxa"/>
            <w:vAlign w:val="bottom"/>
            <w:tcBorders>
              <w:bottom w:val="single" w:sz="8" w:color="auto"/>
            </w:tcBorders>
            <w:shd w:val="clear" w:color="auto" w:fill="CFF0FC"/>
          </w:tcPr>
          <w:p>
            <w:pPr>
              <w:spacing w:after="0"/>
              <w:rPr>
                <w:sz w:val="18"/>
                <w:szCs w:val="18"/>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209,518</w:t>
            </w:r>
          </w:p>
        </w:tc>
        <w:tc>
          <w:tcPr>
            <w:tcW w:w="30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235,704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1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913,867</w:t>
            </w:r>
          </w:p>
        </w:tc>
        <w:tc>
          <w:tcPr>
            <w:tcW w:w="6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852,102</w:t>
            </w:r>
          </w:p>
        </w:tc>
        <w:tc>
          <w:tcPr>
            <w:tcW w:w="100" w:type="dxa"/>
            <w:vAlign w:val="bottom"/>
          </w:tcPr>
          <w:p>
            <w:pPr>
              <w:spacing w:after="0"/>
              <w:rPr>
                <w:sz w:val="18"/>
                <w:szCs w:val="18"/>
                <w:color w:val="auto"/>
              </w:rPr>
            </w:pPr>
          </w:p>
        </w:tc>
      </w:tr>
      <w:tr>
        <w:trPr>
          <w:trHeight w:val="20"/>
        </w:trPr>
        <w:tc>
          <w:tcPr>
            <w:tcW w:w="7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5688330</wp:posOffset>
            </wp:positionH>
            <wp:positionV relativeFrom="paragraph">
              <wp:posOffset>-3676650</wp:posOffset>
            </wp:positionV>
            <wp:extent cx="685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-3676650</wp:posOffset>
            </wp:positionV>
            <wp:extent cx="6858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-2407920</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-2407920</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-1567815</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-1567815</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-170815</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ectPr>
          <w:pgSz w:w="11900" w:h="16838" w:orient="portrait"/>
          <w:cols w:equalWidth="0" w:num="1">
            <w:col w:w="11240"/>
          </w:cols>
          <w:pgMar w:left="320" w:top="769" w:right="33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499110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line="265" w:lineRule="auto"/>
        <w:rPr>
          <w:sz w:val="20"/>
          <w:szCs w:val="20"/>
          <w:color w:val="auto"/>
        </w:rPr>
      </w:pPr>
      <w:r>
        <w:rPr>
          <w:rFonts w:ascii="Times New Roman" w:cs="Times New Roman" w:eastAsia="Times New Roman" w:hAnsi="Times New Roman"/>
          <w:sz w:val="18"/>
          <w:szCs w:val="18"/>
          <w:b w:val="1"/>
          <w:bCs w:val="1"/>
          <w:color w:val="auto"/>
        </w:rPr>
        <w:t>SPORTSMAN’S WAREHOUSE HOLDINGS, INC. AND SUBSIDIARIES CONDENSED CONSOLIDATED STATEMENTS OF OPERATIONS Amounts in Thousands, Except Per Share Data (unaudited)</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6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360" w:type="dxa"/>
            <w:vAlign w:val="bottom"/>
            <w:gridSpan w:val="5"/>
          </w:tcPr>
          <w:p>
            <w:pPr>
              <w:jc w:val="right"/>
              <w:ind w:right="118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320" w:type="dxa"/>
            <w:vAlign w:val="bottom"/>
            <w:gridSpan w:val="5"/>
          </w:tcPr>
          <w:p>
            <w:pPr>
              <w:jc w:val="right"/>
              <w:ind w:right="1040"/>
              <w:spacing w:after="0"/>
              <w:rPr>
                <w:sz w:val="20"/>
                <w:szCs w:val="20"/>
                <w:color w:val="auto"/>
              </w:rPr>
            </w:pPr>
            <w:r>
              <w:rPr>
                <w:rFonts w:ascii="Times New Roman" w:cs="Times New Roman" w:eastAsia="Times New Roman" w:hAnsi="Times New Roman"/>
                <w:sz w:val="14"/>
                <w:szCs w:val="14"/>
                <w:b w:val="1"/>
                <w:bCs w:val="1"/>
                <w:color w:val="auto"/>
              </w:rPr>
              <w:t>Thirty-Nine Weeks Ended</w:t>
            </w:r>
          </w:p>
        </w:tc>
      </w:tr>
      <w:tr>
        <w:trPr>
          <w:trHeight w:val="117"/>
        </w:trPr>
        <w:tc>
          <w:tcPr>
            <w:tcW w:w="36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340" w:type="dxa"/>
            <w:vAlign w:val="bottom"/>
            <w:tcBorders>
              <w:top w:val="single" w:sz="8" w:color="auto"/>
            </w:tcBorders>
          </w:tcPr>
          <w:p>
            <w:pPr>
              <w:jc w:val="right"/>
              <w:ind w:right="314"/>
              <w:spacing w:after="0" w:line="118" w:lineRule="exact"/>
              <w:rPr>
                <w:sz w:val="20"/>
                <w:szCs w:val="20"/>
                <w:color w:val="auto"/>
              </w:rPr>
            </w:pPr>
            <w:r>
              <w:rPr>
                <w:rFonts w:ascii="Times New Roman" w:cs="Times New Roman" w:eastAsia="Times New Roman" w:hAnsi="Times New Roman"/>
                <w:sz w:val="13"/>
                <w:szCs w:val="13"/>
                <w:b w:val="1"/>
                <w:bCs w:val="1"/>
                <w:color w:val="auto"/>
              </w:rPr>
              <w:t>November 1,</w:t>
            </w:r>
          </w:p>
        </w:tc>
        <w:tc>
          <w:tcPr>
            <w:tcW w:w="28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320" w:type="dxa"/>
            <w:vAlign w:val="bottom"/>
            <w:tcBorders>
              <w:top w:val="single" w:sz="8" w:color="auto"/>
            </w:tcBorders>
          </w:tcPr>
          <w:p>
            <w:pPr>
              <w:jc w:val="right"/>
              <w:ind w:right="313"/>
              <w:spacing w:after="0" w:line="118" w:lineRule="exact"/>
              <w:rPr>
                <w:sz w:val="20"/>
                <w:szCs w:val="20"/>
                <w:color w:val="auto"/>
              </w:rPr>
            </w:pPr>
            <w:r>
              <w:rPr>
                <w:rFonts w:ascii="Times New Roman" w:cs="Times New Roman" w:eastAsia="Times New Roman" w:hAnsi="Times New Roman"/>
                <w:sz w:val="13"/>
                <w:szCs w:val="13"/>
                <w:b w:val="1"/>
                <w:bCs w:val="1"/>
                <w:color w:val="auto"/>
              </w:rPr>
              <w:t>November 2,</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620" w:type="dxa"/>
            <w:vAlign w:val="bottom"/>
            <w:tcBorders>
              <w:top w:val="single" w:sz="8" w:color="auto"/>
            </w:tcBorders>
            <w:gridSpan w:val="2"/>
          </w:tcPr>
          <w:p>
            <w:pPr>
              <w:jc w:val="right"/>
              <w:ind w:right="680"/>
              <w:spacing w:after="0" w:line="118" w:lineRule="exact"/>
              <w:rPr>
                <w:sz w:val="20"/>
                <w:szCs w:val="20"/>
                <w:color w:val="auto"/>
              </w:rPr>
            </w:pPr>
            <w:r>
              <w:rPr>
                <w:rFonts w:ascii="Times New Roman" w:cs="Times New Roman" w:eastAsia="Times New Roman" w:hAnsi="Times New Roman"/>
                <w:sz w:val="13"/>
                <w:szCs w:val="13"/>
                <w:b w:val="1"/>
                <w:bCs w:val="1"/>
                <w:color w:val="auto"/>
              </w:rPr>
              <w:t>November 1,</w:t>
            </w:r>
          </w:p>
        </w:tc>
        <w:tc>
          <w:tcPr>
            <w:tcW w:w="240" w:type="dxa"/>
            <w:vAlign w:val="bottom"/>
            <w:tcBorders>
              <w:top w:val="single" w:sz="8" w:color="auto"/>
            </w:tcBorders>
          </w:tcPr>
          <w:p>
            <w:pPr>
              <w:spacing w:after="0"/>
              <w:rPr>
                <w:sz w:val="10"/>
                <w:szCs w:val="10"/>
                <w:color w:val="auto"/>
              </w:rPr>
            </w:pPr>
          </w:p>
        </w:tc>
        <w:tc>
          <w:tcPr>
            <w:tcW w:w="1340" w:type="dxa"/>
            <w:vAlign w:val="bottom"/>
            <w:tcBorders>
              <w:top w:val="single" w:sz="8" w:color="auto"/>
            </w:tcBorders>
          </w:tcPr>
          <w:p>
            <w:pPr>
              <w:jc w:val="right"/>
              <w:ind w:right="313"/>
              <w:spacing w:after="0" w:line="118" w:lineRule="exact"/>
              <w:rPr>
                <w:sz w:val="20"/>
                <w:szCs w:val="20"/>
                <w:color w:val="auto"/>
              </w:rPr>
            </w:pPr>
            <w:r>
              <w:rPr>
                <w:rFonts w:ascii="Times New Roman" w:cs="Times New Roman" w:eastAsia="Times New Roman" w:hAnsi="Times New Roman"/>
                <w:sz w:val="13"/>
                <w:szCs w:val="13"/>
                <w:b w:val="1"/>
                <w:bCs w:val="1"/>
                <w:color w:val="auto"/>
              </w:rPr>
              <w:t>November 2,</w:t>
            </w:r>
          </w:p>
        </w:tc>
        <w:tc>
          <w:tcPr>
            <w:tcW w:w="120" w:type="dxa"/>
            <w:vAlign w:val="bottom"/>
          </w:tcPr>
          <w:p>
            <w:pPr>
              <w:spacing w:after="0"/>
              <w:rPr>
                <w:sz w:val="10"/>
                <w:szCs w:val="10"/>
                <w:color w:val="auto"/>
              </w:rPr>
            </w:pPr>
          </w:p>
        </w:tc>
      </w:tr>
      <w:tr>
        <w:trPr>
          <w:trHeight w:val="173"/>
        </w:trPr>
        <w:tc>
          <w:tcPr>
            <w:tcW w:w="36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5"/>
                <w:szCs w:val="15"/>
                <w:color w:val="auto"/>
              </w:rPr>
            </w:pPr>
          </w:p>
        </w:tc>
      </w:tr>
      <w:tr>
        <w:trPr>
          <w:trHeight w:val="210"/>
        </w:trPr>
        <w:tc>
          <w:tcPr>
            <w:tcW w:w="3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sales</w:t>
            </w:r>
          </w:p>
        </w:tc>
        <w:tc>
          <w:tcPr>
            <w:tcW w:w="6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331,323</w:t>
            </w:r>
          </w:p>
        </w:tc>
        <w:tc>
          <w:tcPr>
            <w:tcW w:w="5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324,261</w:t>
            </w:r>
          </w:p>
        </w:tc>
        <w:tc>
          <w:tcPr>
            <w:tcW w:w="18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874,325</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857,235</w:t>
            </w:r>
          </w:p>
        </w:tc>
        <w:tc>
          <w:tcPr>
            <w:tcW w:w="120" w:type="dxa"/>
            <w:vAlign w:val="bottom"/>
            <w:shd w:val="clear" w:color="auto" w:fill="CFF0FC"/>
          </w:tcPr>
          <w:p>
            <w:pPr>
              <w:spacing w:after="0"/>
              <w:rPr>
                <w:sz w:val="18"/>
                <w:szCs w:val="18"/>
                <w:color w:val="auto"/>
              </w:rPr>
            </w:pPr>
          </w:p>
        </w:tc>
      </w:tr>
      <w:tr>
        <w:trPr>
          <w:trHeight w:val="216"/>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3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222,604</w:t>
            </w:r>
          </w:p>
        </w:tc>
        <w:tc>
          <w:tcPr>
            <w:tcW w:w="2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221,173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596,014</w:t>
            </w:r>
          </w:p>
        </w:tc>
        <w:tc>
          <w:tcPr>
            <w:tcW w:w="2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590,343</w:t>
            </w:r>
          </w:p>
        </w:tc>
        <w:tc>
          <w:tcPr>
            <w:tcW w:w="120" w:type="dxa"/>
            <w:vAlign w:val="bottom"/>
          </w:tcPr>
          <w:p>
            <w:pPr>
              <w:spacing w:after="0"/>
              <w:rPr>
                <w:sz w:val="18"/>
                <w:szCs w:val="18"/>
                <w:color w:val="auto"/>
              </w:rPr>
            </w:pPr>
          </w:p>
        </w:tc>
      </w:tr>
      <w:tr>
        <w:trPr>
          <w:trHeight w:val="209"/>
        </w:trPr>
        <w:tc>
          <w:tcPr>
            <w:tcW w:w="362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Gross profit</w:t>
            </w:r>
          </w:p>
        </w:tc>
        <w:tc>
          <w:tcPr>
            <w:tcW w:w="3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108,719</w:t>
            </w:r>
          </w:p>
        </w:tc>
        <w:tc>
          <w:tcPr>
            <w:tcW w:w="2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103,088</w:t>
            </w:r>
          </w:p>
        </w:tc>
        <w:tc>
          <w:tcPr>
            <w:tcW w:w="1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278,311</w:t>
            </w:r>
          </w:p>
        </w:tc>
        <w:tc>
          <w:tcPr>
            <w:tcW w:w="2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266,892</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426"/>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104,452</w:t>
            </w:r>
          </w:p>
        </w:tc>
        <w:tc>
          <w:tcPr>
            <w:tcW w:w="2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99,973</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296,874</w:t>
            </w:r>
          </w:p>
        </w:tc>
        <w:tc>
          <w:tcPr>
            <w:tcW w:w="2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288,727</w:t>
            </w:r>
          </w:p>
        </w:tc>
        <w:tc>
          <w:tcPr>
            <w:tcW w:w="120" w:type="dxa"/>
            <w:vAlign w:val="bottom"/>
          </w:tcPr>
          <w:p>
            <w:pPr>
              <w:spacing w:after="0"/>
              <w:rPr>
                <w:sz w:val="24"/>
                <w:szCs w:val="24"/>
                <w:color w:val="auto"/>
              </w:rPr>
            </w:pPr>
          </w:p>
        </w:tc>
      </w:tr>
      <w:tr>
        <w:trPr>
          <w:trHeight w:val="209"/>
        </w:trPr>
        <w:tc>
          <w:tcPr>
            <w:tcW w:w="36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3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4,267</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3,115</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(18,563)</w:t>
            </w:r>
          </w:p>
        </w:tc>
        <w:tc>
          <w:tcPr>
            <w:tcW w:w="24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(21,835)</w:t>
            </w:r>
          </w:p>
        </w:tc>
      </w:tr>
      <w:tr>
        <w:trPr>
          <w:trHeight w:val="216"/>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4,053</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10,718</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9,408</w:t>
            </w:r>
          </w:p>
        </w:tc>
        <w:tc>
          <w:tcPr>
            <w:tcW w:w="120" w:type="dxa"/>
            <w:vAlign w:val="bottom"/>
          </w:tcPr>
          <w:p>
            <w:pPr>
              <w:spacing w:after="0"/>
              <w:rPr>
                <w:sz w:val="18"/>
                <w:szCs w:val="18"/>
                <w:color w:val="auto"/>
              </w:rPr>
            </w:pPr>
          </w:p>
        </w:tc>
      </w:tr>
      <w:tr>
        <w:trPr>
          <w:trHeight w:val="216"/>
        </w:trPr>
        <w:tc>
          <w:tcPr>
            <w:tcW w:w="36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losses</w:t>
            </w:r>
          </w:p>
        </w:tc>
        <w:tc>
          <w:tcPr>
            <w:tcW w:w="3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2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457</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0"/>
        </w:trPr>
        <w:tc>
          <w:tcPr>
            <w:tcW w:w="36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(29,356)</w:t>
            </w:r>
          </w:p>
        </w:tc>
        <w:tc>
          <w:tcPr>
            <w:tcW w:w="240" w:type="dxa"/>
            <w:vAlign w:val="bottom"/>
          </w:tcPr>
          <w:p>
            <w:pPr>
              <w:spacing w:after="0"/>
              <w:rPr>
                <w:sz w:val="18"/>
                <w:szCs w:val="18"/>
                <w:color w:val="auto"/>
              </w:rPr>
            </w:pP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(31,700)</w:t>
            </w:r>
          </w:p>
        </w:tc>
      </w:tr>
      <w:tr>
        <w:trPr>
          <w:trHeight w:val="216"/>
        </w:trPr>
        <w:tc>
          <w:tcPr>
            <w:tcW w:w="3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3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(1,027)</w:t>
            </w:r>
          </w:p>
        </w:tc>
        <w:tc>
          <w:tcPr>
            <w:tcW w:w="24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(7,364)</w:t>
            </w:r>
          </w:p>
        </w:tc>
      </w:tr>
      <w:tr>
        <w:trPr>
          <w:trHeight w:val="20"/>
        </w:trPr>
        <w:tc>
          <w:tcPr>
            <w:tcW w:w="3620" w:type="dxa"/>
            <w:vAlign w:val="bottom"/>
            <w:shd w:val="clear" w:color="auto" w:fill="CFF0FC"/>
          </w:tcPr>
          <w:p>
            <w:pPr>
              <w:spacing w:after="0" w:line="20" w:lineRule="exact"/>
              <w:rPr>
                <w:sz w:val="1"/>
                <w:szCs w:val="1"/>
                <w:color w:val="auto"/>
              </w:rPr>
            </w:pPr>
          </w:p>
        </w:tc>
        <w:tc>
          <w:tcPr>
            <w:tcW w:w="3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09"/>
        </w:trPr>
        <w:tc>
          <w:tcPr>
            <w:tcW w:w="36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Net income (loss)</w:t>
            </w: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(364)</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(28,329)</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(24,336)</w:t>
            </w:r>
          </w:p>
        </w:tc>
      </w:tr>
      <w:tr>
        <w:trPr>
          <w:trHeight w:val="20"/>
        </w:trPr>
        <w:tc>
          <w:tcPr>
            <w:tcW w:w="3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7"/>
        </w:trPr>
        <w:tc>
          <w:tcPr>
            <w:tcW w:w="362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Earnings (loss) per share:</w:t>
            </w:r>
          </w:p>
        </w:tc>
        <w:tc>
          <w:tcPr>
            <w:tcW w:w="3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16"/>
        </w:trPr>
        <w:tc>
          <w:tcPr>
            <w:tcW w:w="36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Basic</w:t>
            </w: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(0.01)</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(0.74)</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(0.65)</w:t>
            </w:r>
          </w:p>
        </w:tc>
      </w:tr>
      <w:tr>
        <w:trPr>
          <w:trHeight w:val="20"/>
        </w:trPr>
        <w:tc>
          <w:tcPr>
            <w:tcW w:w="3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7"/>
        </w:trPr>
        <w:tc>
          <w:tcPr>
            <w:tcW w:w="3620" w:type="dxa"/>
            <w:vAlign w:val="bottom"/>
            <w:shd w:val="clear" w:color="auto" w:fill="CFF0FC"/>
          </w:tcPr>
          <w:p>
            <w:pPr>
              <w:ind w:left="80"/>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600" w:type="dxa"/>
            <w:vAlign w:val="bottom"/>
            <w:gridSpan w:val="2"/>
            <w:shd w:val="clear" w:color="auto" w:fill="CFF0FC"/>
          </w:tcPr>
          <w:p>
            <w:pPr>
              <w:jc w:val="right"/>
              <w:ind w:right="1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0.00</w:t>
            </w:r>
          </w:p>
        </w:tc>
        <w:tc>
          <w:tcPr>
            <w:tcW w:w="520" w:type="dxa"/>
            <w:vAlign w:val="bottom"/>
            <w:gridSpan w:val="2"/>
            <w:shd w:val="clear" w:color="auto" w:fill="CFF0FC"/>
          </w:tcPr>
          <w:p>
            <w:pPr>
              <w:jc w:val="right"/>
              <w:ind w:right="1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FF0FC"/>
          </w:tcPr>
          <w:p>
            <w:pPr>
              <w:jc w:val="right"/>
              <w:ind w:right="120"/>
              <w:spacing w:after="0" w:line="196" w:lineRule="exact"/>
              <w:rPr>
                <w:sz w:val="20"/>
                <w:szCs w:val="20"/>
                <w:color w:val="auto"/>
              </w:rPr>
            </w:pPr>
            <w:r>
              <w:rPr>
                <w:rFonts w:ascii="Times New Roman" w:cs="Times New Roman" w:eastAsia="Times New Roman" w:hAnsi="Times New Roman"/>
                <w:sz w:val="18"/>
                <w:szCs w:val="18"/>
                <w:color w:val="auto"/>
              </w:rPr>
              <w:t>(0.01)</w:t>
            </w:r>
          </w:p>
        </w:tc>
        <w:tc>
          <w:tcPr>
            <w:tcW w:w="340" w:type="dxa"/>
            <w:vAlign w:val="bottom"/>
            <w:gridSpan w:val="2"/>
            <w:shd w:val="clear" w:color="auto" w:fill="CFF0FC"/>
          </w:tcPr>
          <w:p>
            <w:pPr>
              <w:jc w:val="right"/>
              <w:ind w:right="1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shd w:val="clear" w:color="auto" w:fill="CFF0FC"/>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(0.74)</w:t>
            </w: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gridSpan w:val="2"/>
            <w:shd w:val="clear" w:color="auto" w:fill="CFF0FC"/>
          </w:tcPr>
          <w:p>
            <w:pPr>
              <w:jc w:val="right"/>
              <w:ind w:right="60"/>
              <w:spacing w:after="0" w:line="196" w:lineRule="exact"/>
              <w:rPr>
                <w:sz w:val="20"/>
                <w:szCs w:val="20"/>
                <w:color w:val="auto"/>
              </w:rPr>
            </w:pPr>
            <w:r>
              <w:rPr>
                <w:rFonts w:ascii="Times New Roman" w:cs="Times New Roman" w:eastAsia="Times New Roman" w:hAnsi="Times New Roman"/>
                <w:sz w:val="18"/>
                <w:szCs w:val="18"/>
                <w:color w:val="auto"/>
              </w:rPr>
              <w:t>(0.65)</w:t>
            </w:r>
          </w:p>
        </w:tc>
      </w:tr>
      <w:tr>
        <w:trPr>
          <w:trHeight w:val="197"/>
        </w:trPr>
        <w:tc>
          <w:tcPr>
            <w:tcW w:w="362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color w:val="auto"/>
              </w:rPr>
              <w:t>Weighted average shares outstanding:</w:t>
            </w:r>
          </w:p>
        </w:tc>
        <w:tc>
          <w:tcPr>
            <w:tcW w:w="380" w:type="dxa"/>
            <w:vAlign w:val="bottom"/>
            <w:tcBorders>
              <w:top w:val="single" w:sz="8" w:color="CFF0FC"/>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280" w:type="dxa"/>
            <w:vAlign w:val="bottom"/>
            <w:tcBorders>
              <w:top w:val="single" w:sz="8" w:color="CFF0FC"/>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180" w:type="dxa"/>
            <w:vAlign w:val="bottom"/>
            <w:tcBorders>
              <w:top w:val="single" w:sz="8" w:color="CFF0FC"/>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280" w:type="dxa"/>
            <w:vAlign w:val="bottom"/>
            <w:tcBorders>
              <w:top w:val="single" w:sz="8" w:color="CFF0FC"/>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r>
      <w:tr>
        <w:trPr>
          <w:trHeight w:val="256"/>
        </w:trPr>
        <w:tc>
          <w:tcPr>
            <w:tcW w:w="362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Basic</w:t>
            </w:r>
          </w:p>
        </w:tc>
        <w:tc>
          <w:tcPr>
            <w:tcW w:w="38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auto"/>
            </w:tcBorders>
            <w:shd w:val="clear" w:color="auto" w:fill="CFF0FC"/>
          </w:tcPr>
          <w:p>
            <w:pPr>
              <w:spacing w:after="0"/>
              <w:rPr>
                <w:sz w:val="22"/>
                <w:szCs w:val="22"/>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38,457</w:t>
            </w:r>
          </w:p>
        </w:tc>
        <w:tc>
          <w:tcPr>
            <w:tcW w:w="28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spacing w:after="0"/>
              <w:rPr>
                <w:sz w:val="22"/>
                <w:szCs w:val="22"/>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37,869</w:t>
            </w:r>
          </w:p>
        </w:tc>
        <w:tc>
          <w:tcPr>
            <w:tcW w:w="18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spacing w:after="0"/>
              <w:rPr>
                <w:sz w:val="22"/>
                <w:szCs w:val="22"/>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38,326</w:t>
            </w:r>
          </w:p>
        </w:tc>
        <w:tc>
          <w:tcPr>
            <w:tcW w:w="28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spacing w:after="0"/>
              <w:rPr>
                <w:sz w:val="22"/>
                <w:szCs w:val="22"/>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37,729</w:t>
            </w:r>
          </w:p>
        </w:tc>
        <w:tc>
          <w:tcPr>
            <w:tcW w:w="120" w:type="dxa"/>
            <w:vAlign w:val="bottom"/>
            <w:tcBorders>
              <w:bottom w:val="single" w:sz="8" w:color="CFF0FC"/>
            </w:tcBorders>
            <w:shd w:val="clear" w:color="auto" w:fill="CFF0FC"/>
          </w:tcPr>
          <w:p>
            <w:pPr>
              <w:spacing w:after="0"/>
              <w:rPr>
                <w:sz w:val="22"/>
                <w:szCs w:val="22"/>
                <w:color w:val="auto"/>
              </w:rPr>
            </w:pPr>
          </w:p>
        </w:tc>
      </w:tr>
      <w:tr>
        <w:trPr>
          <w:trHeight w:val="197"/>
        </w:trPr>
        <w:tc>
          <w:tcPr>
            <w:tcW w:w="3620" w:type="dxa"/>
            <w:vAlign w:val="bottom"/>
          </w:tcPr>
          <w:p>
            <w:pPr>
              <w:ind w:left="80"/>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3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39,155</w:t>
            </w:r>
          </w:p>
        </w:tc>
        <w:tc>
          <w:tcPr>
            <w:tcW w:w="2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37,869</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38,326</w:t>
            </w:r>
          </w:p>
        </w:tc>
        <w:tc>
          <w:tcPr>
            <w:tcW w:w="2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37,729</w:t>
            </w:r>
          </w:p>
        </w:tc>
        <w:tc>
          <w:tcPr>
            <w:tcW w:w="120" w:type="dxa"/>
            <w:vAlign w:val="bottom"/>
          </w:tcPr>
          <w:p>
            <w:pPr>
              <w:spacing w:after="0"/>
              <w:rPr>
                <w:sz w:val="17"/>
                <w:szCs w:val="17"/>
                <w:color w:val="auto"/>
              </w:rPr>
            </w:pPr>
          </w:p>
        </w:tc>
      </w:tr>
      <w:tr>
        <w:trPr>
          <w:trHeight w:val="20"/>
        </w:trPr>
        <w:tc>
          <w:tcPr>
            <w:tcW w:w="3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3528060</wp:posOffset>
            </wp:positionH>
            <wp:positionV relativeFrom="paragraph">
              <wp:posOffset>-2082165</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-2082165</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-2082165</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-2082165</wp:posOffset>
            </wp:positionV>
            <wp:extent cx="7747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3528060</wp:posOffset>
            </wp:positionH>
            <wp:positionV relativeFrom="paragraph">
              <wp:posOffset>-1379855</wp:posOffset>
            </wp:positionV>
            <wp:extent cx="6858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-1379855</wp:posOffset>
            </wp:positionV>
            <wp:extent cx="6858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-1379855</wp:posOffset>
            </wp:positionV>
            <wp:extent cx="6858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-1379855</wp:posOffset>
            </wp:positionV>
            <wp:extent cx="7747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3528060</wp:posOffset>
            </wp:positionH>
            <wp:positionV relativeFrom="paragraph">
              <wp:posOffset>-1096645</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-1096645</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-1096645</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-1096645</wp:posOffset>
            </wp:positionV>
            <wp:extent cx="7747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3528060</wp:posOffset>
            </wp:positionH>
            <wp:positionV relativeFrom="paragraph">
              <wp:posOffset>-488315</wp:posOffset>
            </wp:positionV>
            <wp:extent cx="6858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3528060</wp:posOffset>
            </wp:positionH>
            <wp:positionV relativeFrom="paragraph">
              <wp:posOffset>-471170</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-488315</wp:posOffset>
            </wp:positionV>
            <wp:extent cx="6858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-471170</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-488315</wp:posOffset>
            </wp:positionV>
            <wp:extent cx="6858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-471170</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-488315</wp:posOffset>
            </wp:positionV>
            <wp:extent cx="7747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-471170</wp:posOffset>
            </wp:positionV>
            <wp:extent cx="7747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3528060</wp:posOffset>
            </wp:positionH>
            <wp:positionV relativeFrom="paragraph">
              <wp:posOffset>-187960</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3528060</wp:posOffset>
            </wp:positionH>
            <wp:positionV relativeFrom="paragraph">
              <wp:posOffset>-170815</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-187960</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-170815</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-187960</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-170815</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-187960</wp:posOffset>
            </wp:positionV>
            <wp:extent cx="7747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SPORTSMAN’S WAREHOUSE HOLDINGS,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For the Thirteen Weeks Ended November 1, 2025 and November 2, 2024</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342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880" w:type="dxa"/>
            <w:vAlign w:val="bottom"/>
            <w:tcBorders>
              <w:top w:val="single" w:sz="8" w:color="auto"/>
            </w:tcBorders>
            <w:gridSpan w:val="3"/>
            <w:vMerge w:val="restart"/>
          </w:tcPr>
          <w:p>
            <w:pPr>
              <w:ind w:left="400"/>
              <w:spacing w:after="0"/>
              <w:rPr>
                <w:sz w:val="20"/>
                <w:szCs w:val="20"/>
                <w:color w:val="auto"/>
              </w:rPr>
            </w:pPr>
            <w:r>
              <w:rPr>
                <w:rFonts w:ascii="Times New Roman" w:cs="Times New Roman" w:eastAsia="Times New Roman" w:hAnsi="Times New Roman"/>
                <w:sz w:val="14"/>
                <w:szCs w:val="14"/>
                <w:b w:val="1"/>
                <w:bCs w:val="1"/>
                <w:color w:val="auto"/>
              </w:rPr>
              <w:t>Restricted nonvoting</w:t>
            </w:r>
          </w:p>
        </w:tc>
        <w:tc>
          <w:tcPr>
            <w:tcW w:w="2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gridSpan w:val="2"/>
          </w:tcPr>
          <w:p>
            <w:pPr>
              <w:jc w:val="center"/>
              <w:ind w:right="320"/>
              <w:spacing w:after="0" w:line="145"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1100" w:type="dxa"/>
            <w:vAlign w:val="bottom"/>
            <w:tcBorders>
              <w:top w:val="single" w:sz="8" w:color="auto"/>
            </w:tcBorders>
            <w:gridSpan w:val="3"/>
          </w:tcPr>
          <w:p>
            <w:pPr>
              <w:jc w:val="center"/>
              <w:ind w:right="240"/>
              <w:spacing w:after="0" w:line="145"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center"/>
              <w:ind w:right="74"/>
              <w:spacing w:after="0" w:line="145" w:lineRule="exact"/>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4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8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20" w:type="dxa"/>
            <w:vAlign w:val="bottom"/>
          </w:tcPr>
          <w:p>
            <w:pPr>
              <w:spacing w:after="0"/>
              <w:rPr>
                <w:sz w:val="12"/>
                <w:szCs w:val="12"/>
                <w:color w:val="auto"/>
              </w:rPr>
            </w:pPr>
          </w:p>
        </w:tc>
        <w:tc>
          <w:tcPr>
            <w:tcW w:w="98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(deficit)</w:t>
            </w:r>
          </w:p>
        </w:tc>
        <w:tc>
          <w:tcPr>
            <w:tcW w:w="100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73"/>
        </w:trPr>
        <w:tc>
          <w:tcPr>
            <w:tcW w:w="3420" w:type="dxa"/>
            <w:vAlign w:val="bottom"/>
          </w:tcPr>
          <w:p>
            <w:pPr>
              <w:spacing w:after="0"/>
              <w:rPr>
                <w:sz w:val="15"/>
                <w:szCs w:val="15"/>
                <w:color w:val="auto"/>
              </w:rPr>
            </w:pPr>
          </w:p>
        </w:tc>
        <w:tc>
          <w:tcPr>
            <w:tcW w:w="2160" w:type="dxa"/>
            <w:vAlign w:val="bottom"/>
            <w:gridSpan w:val="6"/>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60" w:type="dxa"/>
            <w:vAlign w:val="bottom"/>
          </w:tcPr>
          <w:p>
            <w:pPr>
              <w:spacing w:after="0"/>
              <w:rPr>
                <w:sz w:val="15"/>
                <w:szCs w:val="15"/>
                <w:color w:val="auto"/>
              </w:rPr>
            </w:pPr>
          </w:p>
        </w:tc>
        <w:tc>
          <w:tcPr>
            <w:tcW w:w="1880" w:type="dxa"/>
            <w:vAlign w:val="bottom"/>
            <w:gridSpan w:val="3"/>
          </w:tcPr>
          <w:p>
            <w:pPr>
              <w:ind w:left="56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20" w:type="dxa"/>
            <w:vAlign w:val="bottom"/>
          </w:tcPr>
          <w:p>
            <w:pPr>
              <w:spacing w:after="0"/>
              <w:rPr>
                <w:sz w:val="15"/>
                <w:szCs w:val="15"/>
                <w:color w:val="auto"/>
              </w:rPr>
            </w:pPr>
          </w:p>
        </w:tc>
        <w:tc>
          <w:tcPr>
            <w:tcW w:w="9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40" w:type="dxa"/>
            <w:vAlign w:val="bottom"/>
          </w:tcPr>
          <w:p>
            <w:pPr>
              <w:spacing w:after="0"/>
              <w:rPr>
                <w:sz w:val="15"/>
                <w:szCs w:val="15"/>
                <w:color w:val="auto"/>
              </w:rPr>
            </w:pPr>
          </w:p>
        </w:tc>
        <w:tc>
          <w:tcPr>
            <w:tcW w:w="8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42"/>
        </w:trPr>
        <w:tc>
          <w:tcPr>
            <w:tcW w:w="3420" w:type="dxa"/>
            <w:vAlign w:val="bottom"/>
          </w:tcPr>
          <w:p>
            <w:pPr>
              <w:spacing w:after="0"/>
              <w:rPr>
                <w:sz w:val="12"/>
                <w:szCs w:val="12"/>
                <w:color w:val="auto"/>
              </w:rPr>
            </w:pPr>
          </w:p>
        </w:tc>
        <w:tc>
          <w:tcPr>
            <w:tcW w:w="1120" w:type="dxa"/>
            <w:vAlign w:val="bottom"/>
            <w:tcBorders>
              <w:top w:val="single" w:sz="8" w:color="auto"/>
            </w:tcBorders>
            <w:gridSpan w:val="2"/>
          </w:tcPr>
          <w:p>
            <w:pPr>
              <w:jc w:val="right"/>
              <w:ind w:right="42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91"/>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Borders>
              <w:top w:val="single" w:sz="8" w:color="auto"/>
            </w:tcBorders>
          </w:tcPr>
          <w:p>
            <w:pPr>
              <w:ind w:left="28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32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2"/>
                <w:szCs w:val="12"/>
                <w:color w:val="auto"/>
              </w:rPr>
            </w:pPr>
          </w:p>
        </w:tc>
        <w:tc>
          <w:tcPr>
            <w:tcW w:w="980" w:type="dxa"/>
            <w:vAlign w:val="bottom"/>
            <w:gridSpan w:val="2"/>
          </w:tcPr>
          <w:p>
            <w:pPr>
              <w:jc w:val="center"/>
              <w:ind w:right="36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2"/>
                <w:szCs w:val="12"/>
                <w:color w:val="auto"/>
              </w:rPr>
            </w:pPr>
          </w:p>
        </w:tc>
        <w:tc>
          <w:tcPr>
            <w:tcW w:w="860" w:type="dxa"/>
            <w:vAlign w:val="bottom"/>
            <w:gridSpan w:val="2"/>
          </w:tcPr>
          <w:p>
            <w:pPr>
              <w:jc w:val="center"/>
              <w:ind w:right="26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10"/>
        </w:trPr>
        <w:tc>
          <w:tcPr>
            <w:tcW w:w="3420" w:type="dxa"/>
            <w:vAlign w:val="bottom"/>
          </w:tcPr>
          <w:p>
            <w:pPr>
              <w:spacing w:after="0"/>
              <w:rPr>
                <w:sz w:val="18"/>
                <w:szCs w:val="18"/>
                <w:color w:val="auto"/>
              </w:rPr>
            </w:pPr>
          </w:p>
        </w:tc>
        <w:tc>
          <w:tcPr>
            <w:tcW w:w="980" w:type="dxa"/>
            <w:vAlign w:val="bottom"/>
            <w:tcBorders>
              <w:top w:val="single" w:sz="8" w:color="auto"/>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Borders>
              <w:top w:val="single" w:sz="8" w:color="auto"/>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August 3, 2024</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37,848</w:t>
            </w:r>
          </w:p>
        </w:tc>
        <w:tc>
          <w:tcPr>
            <w:tcW w:w="14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ind w:left="78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FF0FC"/>
          </w:tcPr>
          <w:p>
            <w:pPr>
              <w:jc w:val="right"/>
              <w:ind w:right="528"/>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99"/>
              </w:rPr>
              <w:t>—</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84,246</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158,411</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243,035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20" w:type="dxa"/>
            <w:vAlign w:val="bottom"/>
            <w:tcBorders>
              <w:top w:val="single" w:sz="8" w:color="CFF0FC"/>
            </w:tcBorders>
            <w:shd w:val="clear" w:color="auto" w:fill="CFF0FC"/>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420" w:type="dxa"/>
            <w:vAlign w:val="bottom"/>
          </w:tcPr>
          <w:p>
            <w:pPr>
              <w:ind w:left="60"/>
              <w:spacing w:after="0" w:line="196" w:lineRule="exact"/>
              <w:rPr>
                <w:sz w:val="20"/>
                <w:szCs w:val="20"/>
                <w:color w:val="auto"/>
              </w:rPr>
            </w:pPr>
            <w:r>
              <w:rPr>
                <w:rFonts w:ascii="Times New Roman" w:cs="Times New Roman" w:eastAsia="Times New Roman" w:hAnsi="Times New Roman"/>
                <w:sz w:val="18"/>
                <w:szCs w:val="18"/>
                <w:color w:val="auto"/>
              </w:rPr>
              <w:t>Vesting of restricted stock units</w:t>
            </w:r>
          </w:p>
        </w:tc>
        <w:tc>
          <w:tcPr>
            <w:tcW w:w="9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166</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ind w:left="78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7"/>
                <w:szCs w:val="17"/>
                <w:color w:val="auto"/>
              </w:rPr>
            </w:pPr>
          </w:p>
        </w:tc>
        <w:tc>
          <w:tcPr>
            <w:tcW w:w="980" w:type="dxa"/>
            <w:vAlign w:val="bottom"/>
            <w:gridSpan w:val="2"/>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7"/>
                <w:szCs w:val="17"/>
                <w:color w:val="auto"/>
              </w:rPr>
            </w:pPr>
          </w:p>
        </w:tc>
        <w:tc>
          <w:tcPr>
            <w:tcW w:w="860" w:type="dxa"/>
            <w:vAlign w:val="bottom"/>
            <w:gridSpan w:val="2"/>
          </w:tcPr>
          <w:p>
            <w:pPr>
              <w:jc w:val="right"/>
              <w:ind w:right="1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3420" w:type="dxa"/>
            <w:vAlign w:val="bottom"/>
            <w:shd w:val="clear" w:color="auto" w:fill="CFF0FC"/>
          </w:tcPr>
          <w:p>
            <w:pPr>
              <w:ind w:left="60"/>
              <w:spacing w:after="0" w:line="198" w:lineRule="exact"/>
              <w:rPr>
                <w:sz w:val="20"/>
                <w:szCs w:val="20"/>
                <w:color w:val="auto"/>
              </w:rPr>
            </w:pPr>
            <w:r>
              <w:rPr>
                <w:rFonts w:ascii="Times New Roman" w:cs="Times New Roman" w:eastAsia="Times New Roman" w:hAnsi="Times New Roman"/>
                <w:sz w:val="18"/>
                <w:szCs w:val="18"/>
                <w:color w:val="auto"/>
              </w:rPr>
              <w:t>Payment of withholdings on restricted stock</w:t>
            </w:r>
          </w:p>
        </w:tc>
        <w:tc>
          <w:tcPr>
            <w:tcW w:w="9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4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units</w:t>
            </w:r>
          </w:p>
        </w:tc>
        <w:tc>
          <w:tcPr>
            <w:tcW w:w="11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shd w:val="clear" w:color="auto" w:fill="CFF0FC"/>
          </w:tcPr>
          <w:p>
            <w:pPr>
              <w:spacing w:after="0"/>
              <w:rPr>
                <w:sz w:val="20"/>
                <w:szCs w:val="20"/>
                <w:color w:val="auto"/>
              </w:rPr>
            </w:pPr>
          </w:p>
        </w:tc>
        <w:tc>
          <w:tcPr>
            <w:tcW w:w="960" w:type="dxa"/>
            <w:vAlign w:val="bottom"/>
            <w:shd w:val="clear" w:color="auto" w:fill="CFF0FC"/>
          </w:tcPr>
          <w:p>
            <w:pPr>
              <w:ind w:left="78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(147)</w:t>
            </w:r>
          </w:p>
        </w:tc>
        <w:tc>
          <w:tcPr>
            <w:tcW w:w="12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0"/>
                <w:szCs w:val="20"/>
                <w:color w:val="auto"/>
              </w:rPr>
            </w:pPr>
          </w:p>
        </w:tc>
        <w:tc>
          <w:tcPr>
            <w:tcW w:w="8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(148)</w:t>
            </w:r>
          </w:p>
        </w:tc>
        <w:tc>
          <w:tcPr>
            <w:tcW w:w="0" w:type="dxa"/>
            <w:vAlign w:val="bottom"/>
          </w:tcPr>
          <w:p>
            <w:pPr>
              <w:spacing w:after="0"/>
              <w:rPr>
                <w:sz w:val="1"/>
                <w:szCs w:val="1"/>
                <w:color w:val="auto"/>
              </w:rPr>
            </w:pPr>
          </w:p>
        </w:tc>
      </w:tr>
      <w:tr>
        <w:trPr>
          <w:trHeight w:val="216"/>
        </w:trPr>
        <w:tc>
          <w:tcPr>
            <w:tcW w:w="34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Stock-based compensation</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960" w:type="dxa"/>
            <w:vAlign w:val="bottom"/>
          </w:tcPr>
          <w:p>
            <w:pPr>
              <w:ind w:left="78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1,047</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Net loss</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ind w:left="78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(364)</w:t>
            </w:r>
          </w:p>
        </w:tc>
        <w:tc>
          <w:tcPr>
            <w:tcW w:w="14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(364)</w:t>
            </w:r>
          </w:p>
        </w:tc>
        <w:tc>
          <w:tcPr>
            <w:tcW w:w="0" w:type="dxa"/>
            <w:vAlign w:val="bottom"/>
          </w:tcPr>
          <w:p>
            <w:pPr>
              <w:spacing w:after="0"/>
              <w:rPr>
                <w:sz w:val="1"/>
                <w:szCs w:val="1"/>
                <w:color w:val="auto"/>
              </w:rPr>
            </w:pPr>
          </w:p>
        </w:tc>
      </w:tr>
      <w:tr>
        <w:trPr>
          <w:trHeight w:val="20"/>
        </w:trPr>
        <w:tc>
          <w:tcPr>
            <w:tcW w:w="342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Balance at November 2, 2024</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37,957</w:t>
            </w:r>
          </w:p>
        </w:tc>
        <w:tc>
          <w:tcPr>
            <w:tcW w:w="140" w:type="dxa"/>
            <w:vAlign w:val="bottom"/>
          </w:tcPr>
          <w:p>
            <w:pPr>
              <w:spacing w:after="0"/>
              <w:rPr>
                <w:sz w:val="18"/>
                <w:szCs w:val="18"/>
                <w:color w:val="auto"/>
              </w:rPr>
            </w:pP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ind w:left="78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528"/>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w w:val="99"/>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85,144</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158,047</w:t>
            </w: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243,570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420" w:type="dxa"/>
            <w:vAlign w:val="bottom"/>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August 2, 2025</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38,413</w:t>
            </w:r>
          </w:p>
        </w:tc>
        <w:tc>
          <w:tcPr>
            <w:tcW w:w="14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ind w:left="78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FF0FC"/>
          </w:tcPr>
          <w:p>
            <w:pPr>
              <w:jc w:val="right"/>
              <w:ind w:right="528"/>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99"/>
              </w:rPr>
              <w:t>—</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87,516</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120,987</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208,887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20" w:type="dxa"/>
            <w:vAlign w:val="bottom"/>
            <w:tcBorders>
              <w:top w:val="single" w:sz="8" w:color="CFF0FC"/>
            </w:tcBorders>
            <w:shd w:val="clear" w:color="auto" w:fill="CFF0FC"/>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420" w:type="dxa"/>
            <w:vAlign w:val="bottom"/>
          </w:tcPr>
          <w:p>
            <w:pPr>
              <w:ind w:left="60"/>
              <w:spacing w:after="0" w:line="196" w:lineRule="exact"/>
              <w:rPr>
                <w:sz w:val="20"/>
                <w:szCs w:val="20"/>
                <w:color w:val="auto"/>
              </w:rPr>
            </w:pPr>
            <w:r>
              <w:rPr>
                <w:rFonts w:ascii="Times New Roman" w:cs="Times New Roman" w:eastAsia="Times New Roman" w:hAnsi="Times New Roman"/>
                <w:sz w:val="18"/>
                <w:szCs w:val="18"/>
                <w:color w:val="auto"/>
              </w:rPr>
              <w:t>Vesting of restricted stock units</w:t>
            </w:r>
          </w:p>
        </w:tc>
        <w:tc>
          <w:tcPr>
            <w:tcW w:w="9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79</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ind w:left="78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7"/>
                <w:szCs w:val="17"/>
                <w:color w:val="auto"/>
              </w:rPr>
            </w:pPr>
          </w:p>
        </w:tc>
        <w:tc>
          <w:tcPr>
            <w:tcW w:w="980" w:type="dxa"/>
            <w:vAlign w:val="bottom"/>
            <w:gridSpan w:val="2"/>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7"/>
                <w:szCs w:val="17"/>
                <w:color w:val="auto"/>
              </w:rPr>
            </w:pPr>
          </w:p>
        </w:tc>
        <w:tc>
          <w:tcPr>
            <w:tcW w:w="860" w:type="dxa"/>
            <w:vAlign w:val="bottom"/>
            <w:gridSpan w:val="2"/>
          </w:tcPr>
          <w:p>
            <w:pPr>
              <w:jc w:val="right"/>
              <w:ind w:right="1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3420" w:type="dxa"/>
            <w:vAlign w:val="bottom"/>
            <w:shd w:val="clear" w:color="auto" w:fill="CFF0FC"/>
          </w:tcPr>
          <w:p>
            <w:pPr>
              <w:ind w:left="60"/>
              <w:spacing w:after="0" w:line="198" w:lineRule="exact"/>
              <w:rPr>
                <w:sz w:val="20"/>
                <w:szCs w:val="20"/>
                <w:color w:val="auto"/>
              </w:rPr>
            </w:pPr>
            <w:r>
              <w:rPr>
                <w:rFonts w:ascii="Times New Roman" w:cs="Times New Roman" w:eastAsia="Times New Roman" w:hAnsi="Times New Roman"/>
                <w:sz w:val="18"/>
                <w:szCs w:val="18"/>
                <w:color w:val="auto"/>
              </w:rPr>
              <w:t>Payment of withholdings on</w:t>
            </w:r>
          </w:p>
        </w:tc>
        <w:tc>
          <w:tcPr>
            <w:tcW w:w="9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4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restricted stock units</w:t>
            </w:r>
          </w:p>
        </w:tc>
        <w:tc>
          <w:tcPr>
            <w:tcW w:w="11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0"/>
                <w:szCs w:val="20"/>
                <w:color w:val="auto"/>
              </w:rPr>
            </w:pPr>
          </w:p>
        </w:tc>
        <w:tc>
          <w:tcPr>
            <w:tcW w:w="960" w:type="dxa"/>
            <w:vAlign w:val="bottom"/>
            <w:shd w:val="clear" w:color="auto" w:fill="CFF0FC"/>
          </w:tcPr>
          <w:p>
            <w:pPr>
              <w:ind w:left="78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(157)</w:t>
            </w:r>
          </w:p>
        </w:tc>
        <w:tc>
          <w:tcPr>
            <w:tcW w:w="12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0"/>
                <w:szCs w:val="20"/>
                <w:color w:val="auto"/>
              </w:rPr>
            </w:pPr>
          </w:p>
        </w:tc>
        <w:tc>
          <w:tcPr>
            <w:tcW w:w="8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(157)</w:t>
            </w:r>
          </w:p>
        </w:tc>
        <w:tc>
          <w:tcPr>
            <w:tcW w:w="0" w:type="dxa"/>
            <w:vAlign w:val="bottom"/>
          </w:tcPr>
          <w:p>
            <w:pPr>
              <w:spacing w:after="0"/>
              <w:rPr>
                <w:sz w:val="1"/>
                <w:szCs w:val="1"/>
                <w:color w:val="auto"/>
              </w:rPr>
            </w:pPr>
          </w:p>
        </w:tc>
      </w:tr>
      <w:tr>
        <w:trPr>
          <w:trHeight w:val="216"/>
        </w:trPr>
        <w:tc>
          <w:tcPr>
            <w:tcW w:w="34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Stock-based compensation</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960" w:type="dxa"/>
            <w:vAlign w:val="bottom"/>
          </w:tcPr>
          <w:p>
            <w:pPr>
              <w:ind w:left="78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Net income</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ind w:left="78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bottom w:val="single" w:sz="8" w:color="CFF0FC"/>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Balance at November 1, 2025</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38,481</w:t>
            </w:r>
          </w:p>
        </w:tc>
        <w:tc>
          <w:tcPr>
            <w:tcW w:w="140" w:type="dxa"/>
            <w:vAlign w:val="bottom"/>
          </w:tcPr>
          <w:p>
            <w:pPr>
              <w:spacing w:after="0"/>
              <w:rPr>
                <w:sz w:val="18"/>
                <w:szCs w:val="18"/>
                <w:color w:val="auto"/>
              </w:rPr>
            </w:pP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ind w:left="78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528"/>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w w:val="99"/>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88,138</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120,995</w:t>
            </w: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209,518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70"/>
              </w:rPr>
              <w:t>6</w:t>
            </w: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34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vMerge w:val="continue"/>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342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2790825</wp:posOffset>
            </wp:positionH>
            <wp:positionV relativeFrom="paragraph">
              <wp:posOffset>-3093720</wp:posOffset>
            </wp:positionV>
            <wp:extent cx="7683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2790825</wp:posOffset>
            </wp:positionH>
            <wp:positionV relativeFrom="paragraph">
              <wp:posOffset>-3076575</wp:posOffset>
            </wp:positionV>
            <wp:extent cx="7683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-3093720</wp:posOffset>
            </wp:positionV>
            <wp:extent cx="7747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-3076575</wp:posOffset>
            </wp:positionV>
            <wp:extent cx="7747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-3093720</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-3076575</wp:posOffset>
            </wp:positionV>
            <wp:extent cx="6858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-3093720</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-3076575</wp:posOffset>
            </wp:positionV>
            <wp:extent cx="6858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-3093720</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-3076575</wp:posOffset>
            </wp:positionV>
            <wp:extent cx="6858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-3093720</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-3076575</wp:posOffset>
            </wp:positionV>
            <wp:extent cx="6858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-3093720</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-3076575</wp:posOffset>
            </wp:positionV>
            <wp:extent cx="6858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2790825</wp:posOffset>
            </wp:positionH>
            <wp:positionV relativeFrom="paragraph">
              <wp:posOffset>-2382520</wp:posOffset>
            </wp:positionV>
            <wp:extent cx="7683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-2382520</wp:posOffset>
            </wp:positionV>
            <wp:extent cx="7747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-2382520</wp:posOffset>
            </wp:positionV>
            <wp:extent cx="6858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-2382520</wp:posOffset>
            </wp:positionV>
            <wp:extent cx="6858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-2382520</wp:posOffset>
            </wp:positionV>
            <wp:extent cx="6858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-2382520</wp:posOffset>
            </wp:positionV>
            <wp:extent cx="6858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-2382520</wp:posOffset>
            </wp:positionV>
            <wp:extent cx="6858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2790825</wp:posOffset>
            </wp:positionH>
            <wp:positionV relativeFrom="paragraph">
              <wp:posOffset>-1927860</wp:posOffset>
            </wp:positionV>
            <wp:extent cx="7683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2790825</wp:posOffset>
            </wp:positionH>
            <wp:positionV relativeFrom="paragraph">
              <wp:posOffset>-1910715</wp:posOffset>
            </wp:positionV>
            <wp:extent cx="7683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-1927860</wp:posOffset>
            </wp:positionV>
            <wp:extent cx="7747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-1910715</wp:posOffset>
            </wp:positionV>
            <wp:extent cx="7747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-1927860</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-1910715</wp:posOffset>
            </wp:positionV>
            <wp:extent cx="6858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-1927860</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-1910715</wp:posOffset>
            </wp:positionV>
            <wp:extent cx="6858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-1927860</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-1910715</wp:posOffset>
            </wp:positionV>
            <wp:extent cx="6858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-1927860</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-1910715</wp:posOffset>
            </wp:positionV>
            <wp:extent cx="6858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-1927860</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-1910715</wp:posOffset>
            </wp:positionV>
            <wp:extent cx="6858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2790825</wp:posOffset>
            </wp:positionH>
            <wp:positionV relativeFrom="paragraph">
              <wp:posOffset>-1216660</wp:posOffset>
            </wp:positionV>
            <wp:extent cx="7683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-1216660</wp:posOffset>
            </wp:positionV>
            <wp:extent cx="7747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-1216660</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-1216660</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-1216660</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-1216660</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-1216660</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For the Thirty-Nine Weeks Ended November 1, 2025 and November 2, 2024</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342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880" w:type="dxa"/>
            <w:vAlign w:val="bottom"/>
            <w:tcBorders>
              <w:top w:val="single" w:sz="8" w:color="auto"/>
            </w:tcBorders>
            <w:gridSpan w:val="3"/>
            <w:vMerge w:val="restart"/>
          </w:tcPr>
          <w:p>
            <w:pPr>
              <w:ind w:left="400"/>
              <w:spacing w:after="0"/>
              <w:rPr>
                <w:sz w:val="20"/>
                <w:szCs w:val="20"/>
                <w:color w:val="auto"/>
              </w:rPr>
            </w:pPr>
            <w:r>
              <w:rPr>
                <w:rFonts w:ascii="Times New Roman" w:cs="Times New Roman" w:eastAsia="Times New Roman" w:hAnsi="Times New Roman"/>
                <w:sz w:val="14"/>
                <w:szCs w:val="14"/>
                <w:b w:val="1"/>
                <w:bCs w:val="1"/>
                <w:color w:val="auto"/>
              </w:rPr>
              <w:t>Restricted nonvoting</w:t>
            </w:r>
          </w:p>
        </w:tc>
        <w:tc>
          <w:tcPr>
            <w:tcW w:w="2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gridSpan w:val="2"/>
          </w:tcPr>
          <w:p>
            <w:pPr>
              <w:jc w:val="center"/>
              <w:ind w:right="320"/>
              <w:spacing w:after="0" w:line="145"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1100" w:type="dxa"/>
            <w:vAlign w:val="bottom"/>
            <w:tcBorders>
              <w:top w:val="single" w:sz="8" w:color="auto"/>
            </w:tcBorders>
            <w:gridSpan w:val="3"/>
          </w:tcPr>
          <w:p>
            <w:pPr>
              <w:jc w:val="center"/>
              <w:ind w:right="240"/>
              <w:spacing w:after="0" w:line="145"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center"/>
              <w:ind w:right="73"/>
              <w:spacing w:after="0" w:line="145" w:lineRule="exact"/>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4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8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20" w:type="dxa"/>
            <w:vAlign w:val="bottom"/>
          </w:tcPr>
          <w:p>
            <w:pPr>
              <w:spacing w:after="0"/>
              <w:rPr>
                <w:sz w:val="12"/>
                <w:szCs w:val="12"/>
                <w:color w:val="auto"/>
              </w:rPr>
            </w:pPr>
          </w:p>
        </w:tc>
        <w:tc>
          <w:tcPr>
            <w:tcW w:w="98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(deficit)</w:t>
            </w:r>
          </w:p>
        </w:tc>
        <w:tc>
          <w:tcPr>
            <w:tcW w:w="100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73"/>
        </w:trPr>
        <w:tc>
          <w:tcPr>
            <w:tcW w:w="3420" w:type="dxa"/>
            <w:vAlign w:val="bottom"/>
          </w:tcPr>
          <w:p>
            <w:pPr>
              <w:spacing w:after="0"/>
              <w:rPr>
                <w:sz w:val="15"/>
                <w:szCs w:val="15"/>
                <w:color w:val="auto"/>
              </w:rPr>
            </w:pPr>
          </w:p>
        </w:tc>
        <w:tc>
          <w:tcPr>
            <w:tcW w:w="2160" w:type="dxa"/>
            <w:vAlign w:val="bottom"/>
            <w:gridSpan w:val="6"/>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60" w:type="dxa"/>
            <w:vAlign w:val="bottom"/>
          </w:tcPr>
          <w:p>
            <w:pPr>
              <w:spacing w:after="0"/>
              <w:rPr>
                <w:sz w:val="15"/>
                <w:szCs w:val="15"/>
                <w:color w:val="auto"/>
              </w:rPr>
            </w:pPr>
          </w:p>
        </w:tc>
        <w:tc>
          <w:tcPr>
            <w:tcW w:w="1880" w:type="dxa"/>
            <w:vAlign w:val="bottom"/>
            <w:gridSpan w:val="3"/>
          </w:tcPr>
          <w:p>
            <w:pPr>
              <w:ind w:left="60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20" w:type="dxa"/>
            <w:vAlign w:val="bottom"/>
          </w:tcPr>
          <w:p>
            <w:pPr>
              <w:spacing w:after="0"/>
              <w:rPr>
                <w:sz w:val="15"/>
                <w:szCs w:val="15"/>
                <w:color w:val="auto"/>
              </w:rPr>
            </w:pPr>
          </w:p>
        </w:tc>
        <w:tc>
          <w:tcPr>
            <w:tcW w:w="9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40" w:type="dxa"/>
            <w:vAlign w:val="bottom"/>
          </w:tcPr>
          <w:p>
            <w:pPr>
              <w:spacing w:after="0"/>
              <w:rPr>
                <w:sz w:val="15"/>
                <w:szCs w:val="15"/>
                <w:color w:val="auto"/>
              </w:rPr>
            </w:pPr>
          </w:p>
        </w:tc>
        <w:tc>
          <w:tcPr>
            <w:tcW w:w="8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42"/>
        </w:trPr>
        <w:tc>
          <w:tcPr>
            <w:tcW w:w="3420" w:type="dxa"/>
            <w:vAlign w:val="bottom"/>
          </w:tcPr>
          <w:p>
            <w:pPr>
              <w:spacing w:after="0"/>
              <w:rPr>
                <w:sz w:val="12"/>
                <w:szCs w:val="12"/>
                <w:color w:val="auto"/>
              </w:rPr>
            </w:pPr>
          </w:p>
        </w:tc>
        <w:tc>
          <w:tcPr>
            <w:tcW w:w="1120" w:type="dxa"/>
            <w:vAlign w:val="bottom"/>
            <w:tcBorders>
              <w:top w:val="single" w:sz="8" w:color="auto"/>
            </w:tcBorders>
            <w:gridSpan w:val="2"/>
          </w:tcPr>
          <w:p>
            <w:pPr>
              <w:jc w:val="right"/>
              <w:ind w:right="42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91"/>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Borders>
              <w:top w:val="single" w:sz="8" w:color="auto"/>
            </w:tcBorders>
          </w:tcPr>
          <w:p>
            <w:pPr>
              <w:ind w:left="28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32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2"/>
                <w:szCs w:val="12"/>
                <w:color w:val="auto"/>
              </w:rPr>
            </w:pPr>
          </w:p>
        </w:tc>
        <w:tc>
          <w:tcPr>
            <w:tcW w:w="980" w:type="dxa"/>
            <w:vAlign w:val="bottom"/>
            <w:gridSpan w:val="2"/>
          </w:tcPr>
          <w:p>
            <w:pPr>
              <w:jc w:val="center"/>
              <w:ind w:right="36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2"/>
                <w:szCs w:val="12"/>
                <w:color w:val="auto"/>
              </w:rPr>
            </w:pPr>
          </w:p>
        </w:tc>
        <w:tc>
          <w:tcPr>
            <w:tcW w:w="860" w:type="dxa"/>
            <w:vAlign w:val="bottom"/>
            <w:gridSpan w:val="2"/>
          </w:tcPr>
          <w:p>
            <w:pPr>
              <w:jc w:val="center"/>
              <w:ind w:right="26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10"/>
        </w:trPr>
        <w:tc>
          <w:tcPr>
            <w:tcW w:w="3420" w:type="dxa"/>
            <w:vAlign w:val="bottom"/>
          </w:tcPr>
          <w:p>
            <w:pPr>
              <w:spacing w:after="0"/>
              <w:rPr>
                <w:sz w:val="18"/>
                <w:szCs w:val="18"/>
                <w:color w:val="auto"/>
              </w:rPr>
            </w:pPr>
          </w:p>
        </w:tc>
        <w:tc>
          <w:tcPr>
            <w:tcW w:w="980" w:type="dxa"/>
            <w:vAlign w:val="bottom"/>
            <w:tcBorders>
              <w:top w:val="single" w:sz="8" w:color="auto"/>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Borders>
              <w:top w:val="single" w:sz="8" w:color="auto"/>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February 3, 2024</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37,529</w:t>
            </w:r>
          </w:p>
        </w:tc>
        <w:tc>
          <w:tcPr>
            <w:tcW w:w="14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ind w:left="78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FF0FC"/>
          </w:tcPr>
          <w:p>
            <w:pPr>
              <w:jc w:val="right"/>
              <w:ind w:right="519"/>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99"/>
              </w:rPr>
              <w:t>—</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81,798</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182,383</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264,556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20" w:type="dxa"/>
            <w:vAlign w:val="bottom"/>
            <w:tcBorders>
              <w:top w:val="single" w:sz="8" w:color="CFF0FC"/>
            </w:tcBorders>
            <w:shd w:val="clear" w:color="auto" w:fill="CFF0FC"/>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420" w:type="dxa"/>
            <w:vAlign w:val="bottom"/>
          </w:tcPr>
          <w:p>
            <w:pPr>
              <w:ind w:left="60"/>
              <w:spacing w:after="0" w:line="196" w:lineRule="exact"/>
              <w:rPr>
                <w:sz w:val="20"/>
                <w:szCs w:val="20"/>
                <w:color w:val="auto"/>
              </w:rPr>
            </w:pPr>
            <w:r>
              <w:rPr>
                <w:rFonts w:ascii="Times New Roman" w:cs="Times New Roman" w:eastAsia="Times New Roman" w:hAnsi="Times New Roman"/>
                <w:sz w:val="18"/>
                <w:szCs w:val="18"/>
                <w:color w:val="auto"/>
              </w:rPr>
              <w:t>Vesting of restricted stock units</w:t>
            </w:r>
          </w:p>
        </w:tc>
        <w:tc>
          <w:tcPr>
            <w:tcW w:w="9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430</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ind w:left="78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17"/>
                <w:szCs w:val="17"/>
                <w:color w:val="auto"/>
              </w:rPr>
            </w:pPr>
          </w:p>
        </w:tc>
        <w:tc>
          <w:tcPr>
            <w:tcW w:w="980" w:type="dxa"/>
            <w:vAlign w:val="bottom"/>
            <w:gridSpan w:val="2"/>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7"/>
                <w:szCs w:val="17"/>
                <w:color w:val="auto"/>
              </w:rPr>
            </w:pPr>
          </w:p>
        </w:tc>
        <w:tc>
          <w:tcPr>
            <w:tcW w:w="860" w:type="dxa"/>
            <w:vAlign w:val="bottom"/>
            <w:gridSpan w:val="2"/>
          </w:tcPr>
          <w:p>
            <w:pPr>
              <w:jc w:val="right"/>
              <w:ind w:right="1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3420" w:type="dxa"/>
            <w:vAlign w:val="bottom"/>
            <w:shd w:val="clear" w:color="auto" w:fill="CFF0FC"/>
          </w:tcPr>
          <w:p>
            <w:pPr>
              <w:ind w:left="60"/>
              <w:spacing w:after="0" w:line="198" w:lineRule="exact"/>
              <w:rPr>
                <w:sz w:val="20"/>
                <w:szCs w:val="20"/>
                <w:color w:val="auto"/>
              </w:rPr>
            </w:pPr>
            <w:r>
              <w:rPr>
                <w:rFonts w:ascii="Times New Roman" w:cs="Times New Roman" w:eastAsia="Times New Roman" w:hAnsi="Times New Roman"/>
                <w:sz w:val="18"/>
                <w:szCs w:val="18"/>
                <w:color w:val="auto"/>
              </w:rPr>
              <w:t>Payment of withholdings on</w:t>
            </w:r>
          </w:p>
        </w:tc>
        <w:tc>
          <w:tcPr>
            <w:tcW w:w="9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4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restricted stock units</w:t>
            </w:r>
          </w:p>
        </w:tc>
        <w:tc>
          <w:tcPr>
            <w:tcW w:w="11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shd w:val="clear" w:color="auto" w:fill="CFF0FC"/>
          </w:tcPr>
          <w:p>
            <w:pPr>
              <w:spacing w:after="0"/>
              <w:rPr>
                <w:sz w:val="20"/>
                <w:szCs w:val="20"/>
                <w:color w:val="auto"/>
              </w:rPr>
            </w:pPr>
          </w:p>
        </w:tc>
        <w:tc>
          <w:tcPr>
            <w:tcW w:w="960" w:type="dxa"/>
            <w:vAlign w:val="bottom"/>
            <w:shd w:val="clear" w:color="auto" w:fill="CFF0FC"/>
          </w:tcPr>
          <w:p>
            <w:pPr>
              <w:ind w:left="78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(296)</w:t>
            </w:r>
          </w:p>
        </w:tc>
        <w:tc>
          <w:tcPr>
            <w:tcW w:w="12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0"/>
                <w:szCs w:val="20"/>
                <w:color w:val="auto"/>
              </w:rPr>
            </w:pPr>
          </w:p>
        </w:tc>
        <w:tc>
          <w:tcPr>
            <w:tcW w:w="8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(297)</w:t>
            </w:r>
          </w:p>
        </w:tc>
        <w:tc>
          <w:tcPr>
            <w:tcW w:w="0" w:type="dxa"/>
            <w:vAlign w:val="bottom"/>
          </w:tcPr>
          <w:p>
            <w:pPr>
              <w:spacing w:after="0"/>
              <w:rPr>
                <w:sz w:val="1"/>
                <w:szCs w:val="1"/>
                <w:color w:val="auto"/>
              </w:rPr>
            </w:pPr>
          </w:p>
        </w:tc>
      </w:tr>
      <w:tr>
        <w:trPr>
          <w:trHeight w:val="198"/>
        </w:trPr>
        <w:tc>
          <w:tcPr>
            <w:tcW w:w="3420" w:type="dxa"/>
            <w:vAlign w:val="bottom"/>
          </w:tcPr>
          <w:p>
            <w:pPr>
              <w:ind w:left="60"/>
              <w:spacing w:after="0" w:line="198" w:lineRule="exact"/>
              <w:rPr>
                <w:sz w:val="20"/>
                <w:szCs w:val="20"/>
                <w:color w:val="auto"/>
              </w:rPr>
            </w:pPr>
            <w:r>
              <w:rPr>
                <w:rFonts w:ascii="Times New Roman" w:cs="Times New Roman" w:eastAsia="Times New Roman" w:hAnsi="Times New Roman"/>
                <w:sz w:val="18"/>
                <w:szCs w:val="18"/>
                <w:color w:val="auto"/>
              </w:rPr>
              <w:t>Issuance of common stock for</w:t>
            </w: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cash per employee stock purchase</w:t>
            </w: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4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plan</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ind w:left="78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4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Stock based compensation</w:t>
            </w: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ind w:left="78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3,438</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3,438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Net loss</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ind w:left="78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(24,336)</w:t>
            </w:r>
          </w:p>
        </w:tc>
        <w:tc>
          <w:tcPr>
            <w:tcW w:w="14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(24,336)</w:t>
            </w: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November 2, 2024</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37,957</w:t>
            </w:r>
          </w:p>
        </w:tc>
        <w:tc>
          <w:tcPr>
            <w:tcW w:w="140" w:type="dxa"/>
            <w:vAlign w:val="bottom"/>
            <w:shd w:val="clear" w:color="auto" w:fill="CFF0FC"/>
          </w:tcPr>
          <w:p>
            <w:pPr>
              <w:spacing w:after="0"/>
              <w:rPr>
                <w:sz w:val="21"/>
                <w:szCs w:val="21"/>
                <w:color w:val="auto"/>
              </w:rPr>
            </w:pP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60" w:type="dxa"/>
            <w:vAlign w:val="bottom"/>
            <w:shd w:val="clear" w:color="auto" w:fill="CFF0FC"/>
          </w:tcPr>
          <w:p>
            <w:pPr>
              <w:ind w:left="78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FF0FC"/>
          </w:tcPr>
          <w:p>
            <w:pPr>
              <w:jc w:val="right"/>
              <w:ind w:right="519"/>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99"/>
              </w:rPr>
              <w:t>—</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85,144</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158,047</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243,570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3420" w:type="dxa"/>
            <w:vAlign w:val="bottom"/>
            <w:tcBorders>
              <w:top w:val="single" w:sz="8" w:color="CFF0FC"/>
              <w:bottom w:val="single" w:sz="8" w:color="CFF0FC"/>
            </w:tcBorders>
            <w:vMerge w:val="restart"/>
          </w:tcPr>
          <w:p>
            <w:pPr>
              <w:spacing w:after="0"/>
              <w:rPr>
                <w:sz w:val="20"/>
                <w:szCs w:val="20"/>
                <w:color w:val="auto"/>
              </w:rPr>
            </w:pPr>
            <w:r>
              <w:rPr>
                <w:rFonts w:ascii="Times New Roman" w:cs="Times New Roman" w:eastAsia="Times New Roman" w:hAnsi="Times New Roman"/>
                <w:sz w:val="18"/>
                <w:szCs w:val="18"/>
                <w:color w:val="auto"/>
              </w:rPr>
              <w:t>Balance at February 1, 2025</w:t>
            </w:r>
          </w:p>
        </w:tc>
        <w:tc>
          <w:tcPr>
            <w:tcW w:w="980" w:type="dxa"/>
            <w:vAlign w:val="bottom"/>
            <w:tcBorders>
              <w:top w:val="single" w:sz="8" w:color="auto"/>
              <w:bottom w:val="single" w:sz="8" w:color="auto"/>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100" w:type="dxa"/>
            <w:vAlign w:val="bottom"/>
            <w:tcBorders>
              <w:top w:val="single" w:sz="8" w:color="CFF0FC"/>
              <w:bottom w:val="single" w:sz="8" w:color="CFF0FC"/>
            </w:tcBorders>
            <w:vMerge w:val="restart"/>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CFF0FC"/>
            </w:tcBorders>
          </w:tcPr>
          <w:p>
            <w:pPr>
              <w:spacing w:after="0"/>
              <w:rPr>
                <w:sz w:val="17"/>
                <w:szCs w:val="17"/>
                <w:color w:val="auto"/>
              </w:rPr>
            </w:pPr>
          </w:p>
        </w:tc>
        <w:tc>
          <w:tcPr>
            <w:tcW w:w="160" w:type="dxa"/>
            <w:vAlign w:val="bottom"/>
            <w:tcBorders>
              <w:top w:val="single" w:sz="8" w:color="CFF0FC"/>
            </w:tcBorders>
          </w:tcPr>
          <w:p>
            <w:pPr>
              <w:spacing w:after="0"/>
              <w:rPr>
                <w:sz w:val="17"/>
                <w:szCs w:val="17"/>
                <w:color w:val="auto"/>
              </w:rPr>
            </w:pPr>
          </w:p>
        </w:tc>
        <w:tc>
          <w:tcPr>
            <w:tcW w:w="960" w:type="dxa"/>
            <w:vAlign w:val="bottom"/>
            <w:tcBorders>
              <w:top w:val="single" w:sz="8" w:color="auto"/>
              <w:bottom w:val="single" w:sz="8" w:color="auto"/>
            </w:tcBorders>
          </w:tcPr>
          <w:p>
            <w:pPr>
              <w:spacing w:after="0"/>
              <w:rPr>
                <w:sz w:val="17"/>
                <w:szCs w:val="17"/>
                <w:color w:val="auto"/>
              </w:rPr>
            </w:pPr>
          </w:p>
        </w:tc>
        <w:tc>
          <w:tcPr>
            <w:tcW w:w="220" w:type="dxa"/>
            <w:vAlign w:val="bottom"/>
            <w:tcBorders>
              <w:top w:val="single" w:sz="8" w:color="CFF0FC"/>
              <w:bottom w:val="single" w:sz="8" w:color="CFF0FC"/>
            </w:tcBorders>
            <w:vMerge w:val="restart"/>
          </w:tcPr>
          <w:p>
            <w:pPr>
              <w:spacing w:after="0"/>
              <w:rPr>
                <w:sz w:val="17"/>
                <w:szCs w:val="17"/>
                <w:color w:val="auto"/>
              </w:rPr>
            </w:pPr>
          </w:p>
        </w:tc>
        <w:tc>
          <w:tcPr>
            <w:tcW w:w="700" w:type="dxa"/>
            <w:vAlign w:val="bottom"/>
            <w:tcBorders>
              <w:top w:val="single" w:sz="8" w:color="auto"/>
              <w:bottom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200" w:type="dxa"/>
            <w:vAlign w:val="bottom"/>
            <w:tcBorders>
              <w:top w:val="single" w:sz="8" w:color="CFF0FC"/>
              <w:bottom w:val="single" w:sz="8" w:color="CFF0FC"/>
            </w:tcBorders>
            <w:vMerge w:val="restart"/>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420" w:type="dxa"/>
            <w:vAlign w:val="bottom"/>
            <w:vMerge w:val="continue"/>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38,041</w:t>
            </w:r>
          </w:p>
        </w:tc>
        <w:tc>
          <w:tcPr>
            <w:tcW w:w="140" w:type="dxa"/>
            <w:vAlign w:val="bottom"/>
          </w:tcPr>
          <w:p>
            <w:pPr>
              <w:spacing w:after="0"/>
              <w:rPr>
                <w:sz w:val="18"/>
                <w:szCs w:val="18"/>
                <w:color w:val="auto"/>
              </w:rPr>
            </w:pPr>
          </w:p>
        </w:tc>
        <w:tc>
          <w:tcPr>
            <w:tcW w:w="100" w:type="dxa"/>
            <w:vAlign w:val="bottom"/>
            <w:vMerge w:val="continue"/>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Borders>
              <w:bottom w:val="single" w:sz="8" w:color="auto"/>
            </w:tcBorders>
          </w:tcPr>
          <w:p>
            <w:pPr>
              <w:ind w:left="78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vMerge w:val="continue"/>
          </w:tcPr>
          <w:p>
            <w:pPr>
              <w:spacing w:after="0"/>
              <w:rPr>
                <w:sz w:val="18"/>
                <w:szCs w:val="18"/>
                <w:color w:val="auto"/>
              </w:rPr>
            </w:pPr>
          </w:p>
        </w:tc>
        <w:tc>
          <w:tcPr>
            <w:tcW w:w="70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vMerge w:val="continue"/>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86,000</w:t>
            </w:r>
          </w:p>
        </w:tc>
        <w:tc>
          <w:tcPr>
            <w:tcW w:w="2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149,324</w:t>
            </w:r>
          </w:p>
        </w:tc>
        <w:tc>
          <w:tcPr>
            <w:tcW w:w="2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235,704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420" w:type="dxa"/>
            <w:vAlign w:val="bottom"/>
            <w:shd w:val="clear" w:color="auto" w:fill="CFF0FC"/>
          </w:tcPr>
          <w:p>
            <w:pPr>
              <w:ind w:left="60"/>
              <w:spacing w:after="0" w:line="196" w:lineRule="exact"/>
              <w:rPr>
                <w:sz w:val="20"/>
                <w:szCs w:val="20"/>
                <w:color w:val="auto"/>
              </w:rPr>
            </w:pPr>
            <w:r>
              <w:rPr>
                <w:rFonts w:ascii="Times New Roman" w:cs="Times New Roman" w:eastAsia="Times New Roman" w:hAnsi="Times New Roman"/>
                <w:sz w:val="18"/>
                <w:szCs w:val="18"/>
                <w:color w:val="auto"/>
              </w:rPr>
              <w:t>Vesting of restricted stock units</w:t>
            </w:r>
          </w:p>
        </w:tc>
        <w:tc>
          <w:tcPr>
            <w:tcW w:w="98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569</w:t>
            </w: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60" w:type="dxa"/>
            <w:vAlign w:val="bottom"/>
            <w:shd w:val="clear" w:color="auto" w:fill="CFF0FC"/>
          </w:tcPr>
          <w:p>
            <w:pPr>
              <w:ind w:left="78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(6)</w:t>
            </w:r>
          </w:p>
        </w:tc>
        <w:tc>
          <w:tcPr>
            <w:tcW w:w="12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1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3420" w:type="dxa"/>
            <w:vAlign w:val="bottom"/>
          </w:tcPr>
          <w:p>
            <w:pPr>
              <w:ind w:left="60"/>
              <w:spacing w:after="0" w:line="198" w:lineRule="exact"/>
              <w:rPr>
                <w:sz w:val="20"/>
                <w:szCs w:val="20"/>
                <w:color w:val="auto"/>
              </w:rPr>
            </w:pPr>
            <w:r>
              <w:rPr>
                <w:rFonts w:ascii="Times New Roman" w:cs="Times New Roman" w:eastAsia="Times New Roman" w:hAnsi="Times New Roman"/>
                <w:sz w:val="18"/>
                <w:szCs w:val="18"/>
                <w:color w:val="auto"/>
              </w:rPr>
              <w:t>Payment of withholdings on</w:t>
            </w: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4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restricted stock units</w:t>
            </w: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(172)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tcPr>
          <w:p>
            <w:pPr>
              <w:spacing w:after="0"/>
              <w:rPr>
                <w:sz w:val="20"/>
                <w:szCs w:val="20"/>
                <w:color w:val="auto"/>
              </w:rPr>
            </w:pPr>
          </w:p>
        </w:tc>
        <w:tc>
          <w:tcPr>
            <w:tcW w:w="960" w:type="dxa"/>
            <w:vAlign w:val="bottom"/>
          </w:tcPr>
          <w:p>
            <w:pPr>
              <w:ind w:left="78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(353)</w:t>
            </w:r>
          </w:p>
        </w:tc>
        <w:tc>
          <w:tcPr>
            <w:tcW w:w="12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(355)</w:t>
            </w:r>
          </w:p>
        </w:tc>
        <w:tc>
          <w:tcPr>
            <w:tcW w:w="0" w:type="dxa"/>
            <w:vAlign w:val="bottom"/>
          </w:tcPr>
          <w:p>
            <w:pPr>
              <w:spacing w:after="0"/>
              <w:rPr>
                <w:sz w:val="1"/>
                <w:szCs w:val="1"/>
                <w:color w:val="auto"/>
              </w:rPr>
            </w:pPr>
          </w:p>
        </w:tc>
      </w:tr>
      <w:tr>
        <w:trPr>
          <w:trHeight w:val="198"/>
        </w:trPr>
        <w:tc>
          <w:tcPr>
            <w:tcW w:w="3420" w:type="dxa"/>
            <w:vAlign w:val="bottom"/>
            <w:shd w:val="clear" w:color="auto" w:fill="CFF0FC"/>
          </w:tcPr>
          <w:p>
            <w:pPr>
              <w:ind w:left="60"/>
              <w:spacing w:after="0" w:line="198" w:lineRule="exact"/>
              <w:rPr>
                <w:sz w:val="20"/>
                <w:szCs w:val="20"/>
                <w:color w:val="auto"/>
              </w:rPr>
            </w:pPr>
            <w:r>
              <w:rPr>
                <w:rFonts w:ascii="Times New Roman" w:cs="Times New Roman" w:eastAsia="Times New Roman" w:hAnsi="Times New Roman"/>
                <w:sz w:val="18"/>
                <w:szCs w:val="18"/>
                <w:color w:val="auto"/>
              </w:rPr>
              <w:t>Issuance of common stock for</w:t>
            </w:r>
          </w:p>
        </w:tc>
        <w:tc>
          <w:tcPr>
            <w:tcW w:w="9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cash per employee stock purchase</w:t>
            </w:r>
          </w:p>
        </w:tc>
        <w:tc>
          <w:tcPr>
            <w:tcW w:w="9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4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plan</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60" w:type="dxa"/>
            <w:vAlign w:val="bottom"/>
            <w:shd w:val="clear" w:color="auto" w:fill="CFF0FC"/>
          </w:tcPr>
          <w:p>
            <w:pPr>
              <w:ind w:left="78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4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Stock based compensation</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960" w:type="dxa"/>
            <w:vAlign w:val="bottom"/>
          </w:tcPr>
          <w:p>
            <w:pPr>
              <w:ind w:left="78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Net loss</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ind w:left="78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(28,329)</w:t>
            </w:r>
          </w:p>
        </w:tc>
        <w:tc>
          <w:tcPr>
            <w:tcW w:w="14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(28,329)</w:t>
            </w:r>
          </w:p>
        </w:tc>
        <w:tc>
          <w:tcPr>
            <w:tcW w:w="0" w:type="dxa"/>
            <w:vAlign w:val="bottom"/>
          </w:tcPr>
          <w:p>
            <w:pPr>
              <w:spacing w:after="0"/>
              <w:rPr>
                <w:sz w:val="1"/>
                <w:szCs w:val="1"/>
                <w:color w:val="auto"/>
              </w:rPr>
            </w:pPr>
          </w:p>
        </w:tc>
      </w:tr>
      <w:tr>
        <w:trPr>
          <w:trHeight w:val="20"/>
        </w:trPr>
        <w:tc>
          <w:tcPr>
            <w:tcW w:w="342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Balance at November 1, 2025</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38,481</w:t>
            </w:r>
          </w:p>
        </w:tc>
        <w:tc>
          <w:tcPr>
            <w:tcW w:w="14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ind w:left="78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519"/>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w w:val="99"/>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88,138</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120,995</w:t>
            </w: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209,518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70"/>
              </w:rPr>
              <w:t>7</w:t>
            </w: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34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vMerge w:val="continue"/>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342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2790825</wp:posOffset>
            </wp:positionH>
            <wp:positionV relativeFrom="paragraph">
              <wp:posOffset>-3916680</wp:posOffset>
            </wp:positionV>
            <wp:extent cx="7683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2790825</wp:posOffset>
            </wp:positionH>
            <wp:positionV relativeFrom="paragraph">
              <wp:posOffset>-3899535</wp:posOffset>
            </wp:positionV>
            <wp:extent cx="7683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-3916680</wp:posOffset>
            </wp:positionV>
            <wp:extent cx="7747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-3899535</wp:posOffset>
            </wp:positionV>
            <wp:extent cx="7747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-3916680</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-3899535</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-3916680</wp:posOffset>
            </wp:positionV>
            <wp:extent cx="685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-3899535</wp:posOffset>
            </wp:positionV>
            <wp:extent cx="685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-3916680</wp:posOffset>
            </wp:positionV>
            <wp:extent cx="68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-3899535</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-3916680</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-3899535</wp:posOffset>
            </wp:positionV>
            <wp:extent cx="68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-3916680</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-3899535</wp:posOffset>
            </wp:positionV>
            <wp:extent cx="685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2790825</wp:posOffset>
            </wp:positionH>
            <wp:positionV relativeFrom="paragraph">
              <wp:posOffset>-2647950</wp:posOffset>
            </wp:positionV>
            <wp:extent cx="7683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2790825</wp:posOffset>
            </wp:positionH>
            <wp:positionV relativeFrom="paragraph">
              <wp:posOffset>-2630805</wp:posOffset>
            </wp:positionV>
            <wp:extent cx="7683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-2647950</wp:posOffset>
            </wp:positionV>
            <wp:extent cx="7747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-2630805</wp:posOffset>
            </wp:positionV>
            <wp:extent cx="7747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-2630805</wp:posOffset>
            </wp:positionV>
            <wp:extent cx="685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-2647950</wp:posOffset>
            </wp:positionV>
            <wp:extent cx="685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-2630805</wp:posOffset>
            </wp:positionV>
            <wp:extent cx="685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-2647950</wp:posOffset>
            </wp:positionV>
            <wp:extent cx="685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-2630805</wp:posOffset>
            </wp:positionV>
            <wp:extent cx="685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-2647950</wp:posOffset>
            </wp:positionV>
            <wp:extent cx="685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-2630805</wp:posOffset>
            </wp:positionV>
            <wp:extent cx="685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-2647950</wp:posOffset>
            </wp:positionV>
            <wp:extent cx="685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-2630805</wp:posOffset>
            </wp:positionV>
            <wp:extent cx="685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2790825</wp:posOffset>
            </wp:positionH>
            <wp:positionV relativeFrom="paragraph">
              <wp:posOffset>-1216660</wp:posOffset>
            </wp:positionV>
            <wp:extent cx="7683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-1216660</wp:posOffset>
            </wp:positionV>
            <wp:extent cx="7747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-1216660</wp:posOffset>
            </wp:positionV>
            <wp:extent cx="685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-1216660</wp:posOffset>
            </wp:positionV>
            <wp:extent cx="685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-1216660</wp:posOffset>
            </wp:positionV>
            <wp:extent cx="685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-1216660</wp:posOffset>
            </wp:positionV>
            <wp:extent cx="685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-1216660</wp:posOffset>
            </wp:positionV>
            <wp:extent cx="685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SPORTSMAN’S WAREHOUSE HOLDINGS,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tbl>
      <w:tblPr>
        <w:tblLayout w:type="fixed"/>
        <w:tblInd w:w="0" w:type="dxa"/>
        <w:tblCellMar>
          <w:top w:w="0" w:type="dxa"/>
          <w:left w:w="0" w:type="dxa"/>
          <w:bottom w:w="0" w:type="dxa"/>
          <w:right w:w="0" w:type="dxa"/>
        </w:tblCellMar>
      </w:tblPr>
      <w:tr>
        <w:trPr>
          <w:trHeight w:val="158"/>
        </w:trPr>
        <w:tc>
          <w:tcPr>
            <w:tcW w:w="80" w:type="dxa"/>
            <w:vAlign w:val="bottom"/>
          </w:tcPr>
          <w:p>
            <w:pPr>
              <w:spacing w:after="0"/>
              <w:rPr>
                <w:sz w:val="13"/>
                <w:szCs w:val="13"/>
                <w:color w:val="auto"/>
              </w:rPr>
            </w:pPr>
          </w:p>
        </w:tc>
        <w:tc>
          <w:tcPr>
            <w:tcW w:w="70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20" w:type="dxa"/>
            <w:vAlign w:val="bottom"/>
            <w:gridSpan w:val="7"/>
          </w:tcPr>
          <w:p>
            <w:pPr>
              <w:ind w:left="680"/>
              <w:spacing w:after="0" w:line="157" w:lineRule="exact"/>
              <w:rPr>
                <w:sz w:val="20"/>
                <w:szCs w:val="20"/>
                <w:color w:val="auto"/>
              </w:rPr>
            </w:pPr>
            <w:r>
              <w:rPr>
                <w:rFonts w:ascii="Times New Roman" w:cs="Times New Roman" w:eastAsia="Times New Roman" w:hAnsi="Times New Roman"/>
                <w:sz w:val="14"/>
                <w:szCs w:val="14"/>
                <w:b w:val="1"/>
                <w:bCs w:val="1"/>
                <w:color w:val="auto"/>
              </w:rPr>
              <w:t>Thirty-Nine Weeks Ended</w:t>
            </w:r>
          </w:p>
        </w:tc>
      </w:tr>
      <w:tr>
        <w:trPr>
          <w:trHeight w:val="117"/>
        </w:trPr>
        <w:tc>
          <w:tcPr>
            <w:tcW w:w="80" w:type="dxa"/>
            <w:vAlign w:val="bottom"/>
          </w:tcPr>
          <w:p>
            <w:pPr>
              <w:spacing w:after="0"/>
              <w:rPr>
                <w:sz w:val="10"/>
                <w:szCs w:val="10"/>
                <w:color w:val="auto"/>
              </w:rPr>
            </w:pPr>
          </w:p>
        </w:tc>
        <w:tc>
          <w:tcPr>
            <w:tcW w:w="70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520" w:type="dxa"/>
            <w:vAlign w:val="bottom"/>
            <w:tcBorders>
              <w:top w:val="single" w:sz="8" w:color="auto"/>
            </w:tcBorders>
            <w:gridSpan w:val="2"/>
          </w:tcPr>
          <w:p>
            <w:pPr>
              <w:jc w:val="right"/>
              <w:ind w:right="580"/>
              <w:spacing w:after="0" w:line="118" w:lineRule="exact"/>
              <w:rPr>
                <w:sz w:val="20"/>
                <w:szCs w:val="20"/>
                <w:color w:val="auto"/>
              </w:rPr>
            </w:pPr>
            <w:r>
              <w:rPr>
                <w:rFonts w:ascii="Times New Roman" w:cs="Times New Roman" w:eastAsia="Times New Roman" w:hAnsi="Times New Roman"/>
                <w:sz w:val="13"/>
                <w:szCs w:val="13"/>
                <w:b w:val="1"/>
                <w:bCs w:val="1"/>
                <w:color w:val="auto"/>
              </w:rPr>
              <w:t>November 1,</w:t>
            </w:r>
          </w:p>
        </w:tc>
        <w:tc>
          <w:tcPr>
            <w:tcW w:w="12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360" w:type="dxa"/>
            <w:vAlign w:val="bottom"/>
            <w:tcBorders>
              <w:top w:val="single" w:sz="8" w:color="auto"/>
            </w:tcBorders>
          </w:tcPr>
          <w:p>
            <w:pPr>
              <w:jc w:val="right"/>
              <w:ind w:right="331"/>
              <w:spacing w:after="0" w:line="118" w:lineRule="exact"/>
              <w:rPr>
                <w:sz w:val="20"/>
                <w:szCs w:val="20"/>
                <w:color w:val="auto"/>
              </w:rPr>
            </w:pPr>
            <w:r>
              <w:rPr>
                <w:rFonts w:ascii="Times New Roman" w:cs="Times New Roman" w:eastAsia="Times New Roman" w:hAnsi="Times New Roman"/>
                <w:sz w:val="13"/>
                <w:szCs w:val="13"/>
                <w:b w:val="1"/>
                <w:bCs w:val="1"/>
                <w:color w:val="auto"/>
              </w:rPr>
              <w:t>November 2,</w:t>
            </w:r>
          </w:p>
        </w:tc>
        <w:tc>
          <w:tcPr>
            <w:tcW w:w="180" w:type="dxa"/>
            <w:vAlign w:val="bottom"/>
            <w:gridSpan w:val="2"/>
          </w:tcPr>
          <w:p>
            <w:pPr>
              <w:spacing w:after="0"/>
              <w:rPr>
                <w:sz w:val="10"/>
                <w:szCs w:val="10"/>
                <w:color w:val="auto"/>
              </w:rPr>
            </w:pPr>
          </w:p>
        </w:tc>
      </w:tr>
      <w:tr>
        <w:trPr>
          <w:trHeight w:val="173"/>
        </w:trPr>
        <w:tc>
          <w:tcPr>
            <w:tcW w:w="80" w:type="dxa"/>
            <w:vAlign w:val="bottom"/>
          </w:tcPr>
          <w:p>
            <w:pPr>
              <w:spacing w:after="0"/>
              <w:rPr>
                <w:sz w:val="15"/>
                <w:szCs w:val="15"/>
                <w:color w:val="auto"/>
              </w:rPr>
            </w:pPr>
          </w:p>
        </w:tc>
        <w:tc>
          <w:tcPr>
            <w:tcW w:w="70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09"/>
        </w:trPr>
        <w:tc>
          <w:tcPr>
            <w:tcW w:w="80" w:type="dxa"/>
            <w:vAlign w:val="bottom"/>
          </w:tcPr>
          <w:p>
            <w:pPr>
              <w:spacing w:after="0"/>
              <w:rPr>
                <w:sz w:val="18"/>
                <w:szCs w:val="18"/>
                <w:color w:val="auto"/>
              </w:rPr>
            </w:pPr>
          </w:p>
        </w:tc>
        <w:tc>
          <w:tcPr>
            <w:tcW w:w="7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4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80" w:type="dxa"/>
            <w:vAlign w:val="bottom"/>
          </w:tcPr>
          <w:p>
            <w:pPr>
              <w:spacing w:after="0"/>
              <w:rPr>
                <w:sz w:val="18"/>
                <w:szCs w:val="18"/>
                <w:color w:val="auto"/>
              </w:rPr>
            </w:pPr>
          </w:p>
        </w:tc>
        <w:tc>
          <w:tcPr>
            <w:tcW w:w="7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loss</w:t>
            </w: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(28,329)</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(24,336)</w:t>
            </w:r>
          </w:p>
        </w:tc>
        <w:tc>
          <w:tcPr>
            <w:tcW w:w="60" w:type="dxa"/>
            <w:vAlign w:val="bottom"/>
          </w:tcPr>
          <w:p>
            <w:pPr>
              <w:spacing w:after="0"/>
              <w:rPr>
                <w:sz w:val="18"/>
                <w:szCs w:val="18"/>
                <w:color w:val="auto"/>
              </w:rPr>
            </w:pPr>
          </w:p>
        </w:tc>
      </w:tr>
      <w:tr>
        <w:trPr>
          <w:trHeight w:val="216"/>
        </w:trPr>
        <w:tc>
          <w:tcPr>
            <w:tcW w:w="80" w:type="dxa"/>
            <w:vAlign w:val="bottom"/>
          </w:tcPr>
          <w:p>
            <w:pPr>
              <w:spacing w:after="0"/>
              <w:rPr>
                <w:sz w:val="18"/>
                <w:szCs w:val="18"/>
                <w:color w:val="auto"/>
              </w:rPr>
            </w:pPr>
          </w:p>
        </w:tc>
        <w:tc>
          <w:tcPr>
            <w:tcW w:w="70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Adjustments to reconcile net income to net cash used in operating activities:</w:t>
            </w:r>
          </w:p>
        </w:tc>
        <w:tc>
          <w:tcPr>
            <w:tcW w:w="4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80" w:type="dxa"/>
            <w:vAlign w:val="bottom"/>
          </w:tcPr>
          <w:p>
            <w:pPr>
              <w:spacing w:after="0"/>
              <w:rPr>
                <w:sz w:val="18"/>
                <w:szCs w:val="18"/>
                <w:color w:val="auto"/>
              </w:rPr>
            </w:pPr>
          </w:p>
        </w:tc>
        <w:tc>
          <w:tcPr>
            <w:tcW w:w="70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Depreciation of property and equipment</w:t>
            </w: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29,359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30,491</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80" w:type="dxa"/>
            <w:vAlign w:val="bottom"/>
          </w:tcPr>
          <w:p>
            <w:pPr>
              <w:spacing w:after="0"/>
              <w:rPr>
                <w:sz w:val="18"/>
                <w:szCs w:val="18"/>
                <w:color w:val="auto"/>
              </w:rPr>
            </w:pPr>
          </w:p>
        </w:tc>
        <w:tc>
          <w:tcPr>
            <w:tcW w:w="70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Amortization of discount on debt and deferred financing fees</w:t>
            </w:r>
          </w:p>
        </w:tc>
        <w:tc>
          <w:tcPr>
            <w:tcW w:w="4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481</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2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80" w:type="dxa"/>
            <w:vAlign w:val="bottom"/>
          </w:tcPr>
          <w:p>
            <w:pPr>
              <w:spacing w:after="0"/>
              <w:rPr>
                <w:sz w:val="18"/>
                <w:szCs w:val="18"/>
                <w:color w:val="auto"/>
              </w:rPr>
            </w:pPr>
          </w:p>
        </w:tc>
        <w:tc>
          <w:tcPr>
            <w:tcW w:w="70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Amortization of definite lived intangible</w:t>
            </w: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80" w:type="dxa"/>
            <w:vAlign w:val="bottom"/>
          </w:tcPr>
          <w:p>
            <w:pPr>
              <w:spacing w:after="0"/>
              <w:rPr>
                <w:sz w:val="18"/>
                <w:szCs w:val="18"/>
                <w:color w:val="auto"/>
              </w:rPr>
            </w:pPr>
          </w:p>
        </w:tc>
        <w:tc>
          <w:tcPr>
            <w:tcW w:w="70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Loss on asset dispositions</w:t>
            </w:r>
          </w:p>
        </w:tc>
        <w:tc>
          <w:tcPr>
            <w:tcW w:w="4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12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80" w:type="dxa"/>
            <w:vAlign w:val="bottom"/>
          </w:tcPr>
          <w:p>
            <w:pPr>
              <w:spacing w:after="0"/>
              <w:rPr>
                <w:sz w:val="18"/>
                <w:szCs w:val="18"/>
                <w:color w:val="auto"/>
              </w:rPr>
            </w:pPr>
          </w:p>
        </w:tc>
        <w:tc>
          <w:tcPr>
            <w:tcW w:w="70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Deferred income taxes</w:t>
            </w: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(946)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(6,975)</w:t>
            </w:r>
          </w:p>
        </w:tc>
        <w:tc>
          <w:tcPr>
            <w:tcW w:w="60" w:type="dxa"/>
            <w:vAlign w:val="bottom"/>
          </w:tcPr>
          <w:p>
            <w:pPr>
              <w:spacing w:after="0"/>
              <w:rPr>
                <w:sz w:val="18"/>
                <w:szCs w:val="18"/>
                <w:color w:val="auto"/>
              </w:rPr>
            </w:pPr>
          </w:p>
        </w:tc>
      </w:tr>
      <w:tr>
        <w:trPr>
          <w:trHeight w:val="216"/>
        </w:trPr>
        <w:tc>
          <w:tcPr>
            <w:tcW w:w="80" w:type="dxa"/>
            <w:vAlign w:val="bottom"/>
          </w:tcPr>
          <w:p>
            <w:pPr>
              <w:spacing w:after="0"/>
              <w:rPr>
                <w:sz w:val="18"/>
                <w:szCs w:val="18"/>
                <w:color w:val="auto"/>
              </w:rPr>
            </w:pPr>
          </w:p>
        </w:tc>
        <w:tc>
          <w:tcPr>
            <w:tcW w:w="70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Stock-based compensation</w:t>
            </w:r>
          </w:p>
        </w:tc>
        <w:tc>
          <w:tcPr>
            <w:tcW w:w="4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2,400</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3,438</w:t>
            </w:r>
          </w:p>
        </w:tc>
        <w:tc>
          <w:tcPr>
            <w:tcW w:w="12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80" w:type="dxa"/>
            <w:vAlign w:val="bottom"/>
          </w:tcPr>
          <w:p>
            <w:pPr>
              <w:spacing w:after="0"/>
              <w:rPr>
                <w:sz w:val="18"/>
                <w:szCs w:val="18"/>
                <w:color w:val="auto"/>
              </w:rPr>
            </w:pPr>
          </w:p>
        </w:tc>
        <w:tc>
          <w:tcPr>
            <w:tcW w:w="70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Change in operating assets and liabilities, net of amounts acquired:</w:t>
            </w: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80" w:type="dxa"/>
            <w:vAlign w:val="bottom"/>
          </w:tcPr>
          <w:p>
            <w:pPr>
              <w:spacing w:after="0"/>
              <w:rPr>
                <w:sz w:val="18"/>
                <w:szCs w:val="18"/>
                <w:color w:val="auto"/>
              </w:rPr>
            </w:pPr>
          </w:p>
        </w:tc>
        <w:tc>
          <w:tcPr>
            <w:tcW w:w="702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8"/>
                <w:szCs w:val="18"/>
                <w:color w:val="auto"/>
              </w:rPr>
              <w:t>Accounts receivable, net</w:t>
            </w:r>
          </w:p>
        </w:tc>
        <w:tc>
          <w:tcPr>
            <w:tcW w:w="4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(2,654)</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673</w:t>
            </w:r>
          </w:p>
        </w:tc>
        <w:tc>
          <w:tcPr>
            <w:tcW w:w="12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80" w:type="dxa"/>
            <w:vAlign w:val="bottom"/>
          </w:tcPr>
          <w:p>
            <w:pPr>
              <w:spacing w:after="0"/>
              <w:rPr>
                <w:sz w:val="18"/>
                <w:szCs w:val="18"/>
                <w:color w:val="auto"/>
              </w:rPr>
            </w:pPr>
          </w:p>
        </w:tc>
        <w:tc>
          <w:tcPr>
            <w:tcW w:w="70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Operating lease assets and liabilities</w:t>
            </w: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(3,751)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(4,725)</w:t>
            </w:r>
          </w:p>
        </w:tc>
        <w:tc>
          <w:tcPr>
            <w:tcW w:w="60" w:type="dxa"/>
            <w:vAlign w:val="bottom"/>
          </w:tcPr>
          <w:p>
            <w:pPr>
              <w:spacing w:after="0"/>
              <w:rPr>
                <w:sz w:val="18"/>
                <w:szCs w:val="18"/>
                <w:color w:val="auto"/>
              </w:rPr>
            </w:pPr>
          </w:p>
        </w:tc>
      </w:tr>
      <w:tr>
        <w:trPr>
          <w:trHeight w:val="216"/>
        </w:trPr>
        <w:tc>
          <w:tcPr>
            <w:tcW w:w="80" w:type="dxa"/>
            <w:vAlign w:val="bottom"/>
          </w:tcPr>
          <w:p>
            <w:pPr>
              <w:spacing w:after="0"/>
              <w:rPr>
                <w:sz w:val="18"/>
                <w:szCs w:val="18"/>
                <w:color w:val="auto"/>
              </w:rPr>
            </w:pPr>
          </w:p>
        </w:tc>
        <w:tc>
          <w:tcPr>
            <w:tcW w:w="702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8"/>
                <w:szCs w:val="18"/>
                <w:color w:val="auto"/>
              </w:rPr>
              <w:t>Merchandise inventories</w:t>
            </w:r>
          </w:p>
        </w:tc>
        <w:tc>
          <w:tcPr>
            <w:tcW w:w="4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(82,010)</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(83,426)</w:t>
            </w:r>
          </w:p>
        </w:tc>
        <w:tc>
          <w:tcPr>
            <w:tcW w:w="60" w:type="dxa"/>
            <w:vAlign w:val="bottom"/>
          </w:tcPr>
          <w:p>
            <w:pPr>
              <w:spacing w:after="0"/>
              <w:rPr>
                <w:sz w:val="18"/>
                <w:szCs w:val="18"/>
                <w:color w:val="auto"/>
              </w:rPr>
            </w:pPr>
          </w:p>
        </w:tc>
      </w:tr>
      <w:tr>
        <w:trPr>
          <w:trHeight w:val="216"/>
        </w:trPr>
        <w:tc>
          <w:tcPr>
            <w:tcW w:w="80" w:type="dxa"/>
            <w:vAlign w:val="bottom"/>
          </w:tcPr>
          <w:p>
            <w:pPr>
              <w:spacing w:after="0"/>
              <w:rPr>
                <w:sz w:val="18"/>
                <w:szCs w:val="18"/>
                <w:color w:val="auto"/>
              </w:rPr>
            </w:pPr>
          </w:p>
        </w:tc>
        <w:tc>
          <w:tcPr>
            <w:tcW w:w="70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80" w:type="dxa"/>
            <w:vAlign w:val="bottom"/>
          </w:tcPr>
          <w:p>
            <w:pPr>
              <w:spacing w:after="0"/>
              <w:rPr>
                <w:sz w:val="18"/>
                <w:szCs w:val="18"/>
                <w:color w:val="auto"/>
              </w:rPr>
            </w:pPr>
          </w:p>
        </w:tc>
        <w:tc>
          <w:tcPr>
            <w:tcW w:w="702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8"/>
                <w:szCs w:val="18"/>
                <w:color w:val="auto"/>
              </w:rPr>
              <w:t>Accounts payable</w:t>
            </w:r>
          </w:p>
        </w:tc>
        <w:tc>
          <w:tcPr>
            <w:tcW w:w="4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(2,970)</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56,128</w:t>
            </w:r>
          </w:p>
        </w:tc>
        <w:tc>
          <w:tcPr>
            <w:tcW w:w="12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80" w:type="dxa"/>
            <w:vAlign w:val="bottom"/>
          </w:tcPr>
          <w:p>
            <w:pPr>
              <w:spacing w:after="0"/>
              <w:rPr>
                <w:sz w:val="18"/>
                <w:szCs w:val="18"/>
                <w:color w:val="auto"/>
              </w:rPr>
            </w:pPr>
          </w:p>
        </w:tc>
        <w:tc>
          <w:tcPr>
            <w:tcW w:w="70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Accrued expenses</w:t>
            </w: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13,779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9,727</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80" w:type="dxa"/>
            <w:vAlign w:val="bottom"/>
          </w:tcPr>
          <w:p>
            <w:pPr>
              <w:spacing w:after="0"/>
              <w:rPr>
                <w:sz w:val="18"/>
                <w:szCs w:val="18"/>
                <w:color w:val="auto"/>
              </w:rPr>
            </w:pPr>
          </w:p>
        </w:tc>
        <w:tc>
          <w:tcPr>
            <w:tcW w:w="702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8"/>
                <w:szCs w:val="18"/>
                <w:color w:val="auto"/>
              </w:rPr>
              <w:t>Income taxes payable and receivable</w:t>
            </w:r>
          </w:p>
        </w:tc>
        <w:tc>
          <w:tcPr>
            <w:tcW w:w="4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(649)</w:t>
            </w:r>
          </w:p>
        </w:tc>
        <w:tc>
          <w:tcPr>
            <w:tcW w:w="60" w:type="dxa"/>
            <w:vAlign w:val="bottom"/>
          </w:tcPr>
          <w:p>
            <w:pPr>
              <w:spacing w:after="0"/>
              <w:rPr>
                <w:sz w:val="18"/>
                <w:szCs w:val="18"/>
                <w:color w:val="auto"/>
              </w:rPr>
            </w:pPr>
          </w:p>
        </w:tc>
      </w:tr>
      <w:tr>
        <w:trPr>
          <w:trHeight w:val="20"/>
        </w:trPr>
        <w:tc>
          <w:tcPr>
            <w:tcW w:w="80" w:type="dxa"/>
            <w:vAlign w:val="bottom"/>
          </w:tcPr>
          <w:p>
            <w:pPr>
              <w:spacing w:after="0" w:line="20" w:lineRule="exact"/>
              <w:rPr>
                <w:sz w:val="1"/>
                <w:szCs w:val="1"/>
                <w:color w:val="auto"/>
              </w:rPr>
            </w:pPr>
          </w:p>
        </w:tc>
        <w:tc>
          <w:tcPr>
            <w:tcW w:w="7020" w:type="dxa"/>
            <w:vAlign w:val="bottom"/>
            <w:shd w:val="clear" w:color="auto" w:fill="CFF0FC"/>
          </w:tcPr>
          <w:p>
            <w:pPr>
              <w:spacing w:after="0" w:line="20" w:lineRule="exact"/>
              <w:rPr>
                <w:sz w:val="1"/>
                <w:szCs w:val="1"/>
                <w:color w:val="auto"/>
              </w:rPr>
            </w:pPr>
          </w:p>
        </w:tc>
        <w:tc>
          <w:tcPr>
            <w:tcW w:w="4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9"/>
        </w:trPr>
        <w:tc>
          <w:tcPr>
            <w:tcW w:w="80" w:type="dxa"/>
            <w:vAlign w:val="bottom"/>
          </w:tcPr>
          <w:p>
            <w:pPr>
              <w:spacing w:after="0"/>
              <w:rPr>
                <w:sz w:val="18"/>
                <w:szCs w:val="18"/>
                <w:color w:val="auto"/>
              </w:rPr>
            </w:pPr>
          </w:p>
        </w:tc>
        <w:tc>
          <w:tcPr>
            <w:tcW w:w="70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(70,495)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(18,671)</w:t>
            </w:r>
          </w:p>
        </w:tc>
        <w:tc>
          <w:tcPr>
            <w:tcW w:w="60" w:type="dxa"/>
            <w:vAlign w:val="bottom"/>
          </w:tcPr>
          <w:p>
            <w:pPr>
              <w:spacing w:after="0"/>
              <w:rPr>
                <w:sz w:val="18"/>
                <w:szCs w:val="18"/>
                <w:color w:val="auto"/>
              </w:rPr>
            </w:pPr>
          </w:p>
        </w:tc>
      </w:tr>
      <w:tr>
        <w:trPr>
          <w:trHeight w:val="210"/>
        </w:trPr>
        <w:tc>
          <w:tcPr>
            <w:tcW w:w="80" w:type="dxa"/>
            <w:vAlign w:val="bottom"/>
          </w:tcPr>
          <w:p>
            <w:pPr>
              <w:spacing w:after="0"/>
              <w:rPr>
                <w:sz w:val="18"/>
                <w:szCs w:val="18"/>
                <w:color w:val="auto"/>
              </w:rPr>
            </w:pPr>
          </w:p>
        </w:tc>
        <w:tc>
          <w:tcPr>
            <w:tcW w:w="7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48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1360" w:type="dxa"/>
            <w:vAlign w:val="bottom"/>
            <w:tcBorders>
              <w:top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136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80" w:type="dxa"/>
            <w:vAlign w:val="bottom"/>
          </w:tcPr>
          <w:p>
            <w:pPr>
              <w:spacing w:after="0"/>
              <w:rPr>
                <w:sz w:val="18"/>
                <w:szCs w:val="18"/>
                <w:color w:val="auto"/>
              </w:rPr>
            </w:pPr>
          </w:p>
        </w:tc>
        <w:tc>
          <w:tcPr>
            <w:tcW w:w="7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Purchase of property and equipment, net of amounts acquired</w:t>
            </w: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(18,741)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(11,305)</w:t>
            </w:r>
          </w:p>
        </w:tc>
        <w:tc>
          <w:tcPr>
            <w:tcW w:w="60" w:type="dxa"/>
            <w:vAlign w:val="bottom"/>
          </w:tcPr>
          <w:p>
            <w:pPr>
              <w:spacing w:after="0"/>
              <w:rPr>
                <w:sz w:val="18"/>
                <w:szCs w:val="18"/>
                <w:color w:val="auto"/>
              </w:rPr>
            </w:pPr>
          </w:p>
        </w:tc>
      </w:tr>
      <w:tr>
        <w:trPr>
          <w:trHeight w:val="216"/>
        </w:trPr>
        <w:tc>
          <w:tcPr>
            <w:tcW w:w="80" w:type="dxa"/>
            <w:vAlign w:val="bottom"/>
          </w:tcPr>
          <w:p>
            <w:pPr>
              <w:spacing w:after="0"/>
              <w:rPr>
                <w:sz w:val="18"/>
                <w:szCs w:val="18"/>
                <w:color w:val="auto"/>
              </w:rPr>
            </w:pPr>
          </w:p>
        </w:tc>
        <w:tc>
          <w:tcPr>
            <w:tcW w:w="702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Proceeds from sale of property and equipment</w:t>
            </w:r>
          </w:p>
        </w:tc>
        <w:tc>
          <w:tcPr>
            <w:tcW w:w="4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20" w:type="dxa"/>
            <w:vAlign w:val="bottom"/>
            <w:tcBorders>
              <w:bottom w:val="single" w:sz="8" w:color="CFF0FC"/>
            </w:tcBorders>
            <w:shd w:val="clear" w:color="auto" w:fill="CFF0FC"/>
          </w:tcPr>
          <w:p>
            <w:pPr>
              <w:spacing w:after="0"/>
              <w:rPr>
                <w:sz w:val="18"/>
                <w:szCs w:val="18"/>
                <w:color w:val="auto"/>
              </w:rPr>
            </w:pPr>
          </w:p>
        </w:tc>
        <w:tc>
          <w:tcPr>
            <w:tcW w:w="60" w:type="dxa"/>
            <w:vAlign w:val="bottom"/>
          </w:tcPr>
          <w:p>
            <w:pPr>
              <w:spacing w:after="0"/>
              <w:rPr>
                <w:sz w:val="18"/>
                <w:szCs w:val="18"/>
                <w:color w:val="auto"/>
              </w:rPr>
            </w:pPr>
          </w:p>
        </w:tc>
      </w:tr>
      <w:tr>
        <w:trPr>
          <w:trHeight w:val="210"/>
        </w:trPr>
        <w:tc>
          <w:tcPr>
            <w:tcW w:w="80" w:type="dxa"/>
            <w:vAlign w:val="bottom"/>
          </w:tcPr>
          <w:p>
            <w:pPr>
              <w:spacing w:after="0"/>
              <w:rPr>
                <w:sz w:val="18"/>
                <w:szCs w:val="18"/>
                <w:color w:val="auto"/>
              </w:rPr>
            </w:pPr>
          </w:p>
        </w:tc>
        <w:tc>
          <w:tcPr>
            <w:tcW w:w="70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(18,730)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(11,250)</w:t>
            </w:r>
          </w:p>
        </w:tc>
        <w:tc>
          <w:tcPr>
            <w:tcW w:w="60" w:type="dxa"/>
            <w:vAlign w:val="bottom"/>
          </w:tcPr>
          <w:p>
            <w:pPr>
              <w:spacing w:after="0"/>
              <w:rPr>
                <w:sz w:val="18"/>
                <w:szCs w:val="18"/>
                <w:color w:val="auto"/>
              </w:rPr>
            </w:pPr>
          </w:p>
        </w:tc>
      </w:tr>
      <w:tr>
        <w:trPr>
          <w:trHeight w:val="209"/>
        </w:trPr>
        <w:tc>
          <w:tcPr>
            <w:tcW w:w="80" w:type="dxa"/>
            <w:vAlign w:val="bottom"/>
          </w:tcPr>
          <w:p>
            <w:pPr>
              <w:spacing w:after="0"/>
              <w:rPr>
                <w:sz w:val="18"/>
                <w:szCs w:val="18"/>
                <w:color w:val="auto"/>
              </w:rPr>
            </w:pPr>
          </w:p>
        </w:tc>
        <w:tc>
          <w:tcPr>
            <w:tcW w:w="7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48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1360" w:type="dxa"/>
            <w:vAlign w:val="bottom"/>
            <w:tcBorders>
              <w:top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136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80" w:type="dxa"/>
            <w:vAlign w:val="bottom"/>
          </w:tcPr>
          <w:p>
            <w:pPr>
              <w:spacing w:after="0"/>
              <w:rPr>
                <w:sz w:val="18"/>
                <w:szCs w:val="18"/>
                <w:color w:val="auto"/>
              </w:rPr>
            </w:pPr>
          </w:p>
        </w:tc>
        <w:tc>
          <w:tcPr>
            <w:tcW w:w="7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borrowings on line of credit</w:t>
            </w: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63,248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3,999</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80" w:type="dxa"/>
            <w:vAlign w:val="bottom"/>
          </w:tcPr>
          <w:p>
            <w:pPr>
              <w:spacing w:after="0"/>
              <w:rPr>
                <w:sz w:val="18"/>
                <w:szCs w:val="18"/>
                <w:color w:val="auto"/>
              </w:rPr>
            </w:pPr>
          </w:p>
        </w:tc>
        <w:tc>
          <w:tcPr>
            <w:tcW w:w="70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Borrowings on term loan</w:t>
            </w:r>
          </w:p>
        </w:tc>
        <w:tc>
          <w:tcPr>
            <w:tcW w:w="4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12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80" w:type="dxa"/>
            <w:vAlign w:val="bottom"/>
          </w:tcPr>
          <w:p>
            <w:pPr>
              <w:spacing w:after="0"/>
              <w:rPr>
                <w:sz w:val="18"/>
                <w:szCs w:val="18"/>
                <w:color w:val="auto"/>
              </w:rPr>
            </w:pPr>
          </w:p>
        </w:tc>
        <w:tc>
          <w:tcPr>
            <w:tcW w:w="7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Increase in book overdraft</w:t>
            </w: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1,670</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80" w:type="dxa"/>
            <w:vAlign w:val="bottom"/>
          </w:tcPr>
          <w:p>
            <w:pPr>
              <w:spacing w:after="0"/>
              <w:rPr>
                <w:sz w:val="18"/>
                <w:szCs w:val="18"/>
                <w:color w:val="auto"/>
              </w:rPr>
            </w:pPr>
          </w:p>
        </w:tc>
        <w:tc>
          <w:tcPr>
            <w:tcW w:w="70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Proceeds from issuance of common stock per employee stock purchase plan</w:t>
            </w:r>
          </w:p>
        </w:tc>
        <w:tc>
          <w:tcPr>
            <w:tcW w:w="4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12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80" w:type="dxa"/>
            <w:vAlign w:val="bottom"/>
          </w:tcPr>
          <w:p>
            <w:pPr>
              <w:spacing w:after="0"/>
              <w:rPr>
                <w:sz w:val="18"/>
                <w:szCs w:val="18"/>
                <w:color w:val="auto"/>
              </w:rPr>
            </w:pPr>
          </w:p>
        </w:tc>
        <w:tc>
          <w:tcPr>
            <w:tcW w:w="7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Payment of withholdings on restricted stock units</w:t>
            </w: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(353)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(296)</w:t>
            </w:r>
          </w:p>
        </w:tc>
        <w:tc>
          <w:tcPr>
            <w:tcW w:w="60" w:type="dxa"/>
            <w:vAlign w:val="bottom"/>
          </w:tcPr>
          <w:p>
            <w:pPr>
              <w:spacing w:after="0"/>
              <w:rPr>
                <w:sz w:val="18"/>
                <w:szCs w:val="18"/>
                <w:color w:val="auto"/>
              </w:rPr>
            </w:pPr>
          </w:p>
        </w:tc>
      </w:tr>
      <w:tr>
        <w:trPr>
          <w:trHeight w:val="216"/>
        </w:trPr>
        <w:tc>
          <w:tcPr>
            <w:tcW w:w="80" w:type="dxa"/>
            <w:vAlign w:val="bottom"/>
          </w:tcPr>
          <w:p>
            <w:pPr>
              <w:spacing w:after="0"/>
              <w:rPr>
                <w:sz w:val="18"/>
                <w:szCs w:val="18"/>
                <w:color w:val="auto"/>
              </w:rPr>
            </w:pPr>
          </w:p>
        </w:tc>
        <w:tc>
          <w:tcPr>
            <w:tcW w:w="70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Payment of deferred financing costs and discount on term loan</w:t>
            </w:r>
          </w:p>
        </w:tc>
        <w:tc>
          <w:tcPr>
            <w:tcW w:w="4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(428)</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(1,135)</w:t>
            </w:r>
          </w:p>
        </w:tc>
        <w:tc>
          <w:tcPr>
            <w:tcW w:w="60" w:type="dxa"/>
            <w:vAlign w:val="bottom"/>
          </w:tcPr>
          <w:p>
            <w:pPr>
              <w:spacing w:after="0"/>
              <w:rPr>
                <w:sz w:val="18"/>
                <w:szCs w:val="18"/>
                <w:color w:val="auto"/>
              </w:rPr>
            </w:pPr>
          </w:p>
        </w:tc>
      </w:tr>
      <w:tr>
        <w:trPr>
          <w:trHeight w:val="209"/>
        </w:trPr>
        <w:tc>
          <w:tcPr>
            <w:tcW w:w="80" w:type="dxa"/>
            <w:vAlign w:val="bottom"/>
          </w:tcPr>
          <w:p>
            <w:pPr>
              <w:spacing w:after="0"/>
              <w:rPr>
                <w:sz w:val="18"/>
                <w:szCs w:val="18"/>
                <w:color w:val="auto"/>
              </w:rPr>
            </w:pPr>
          </w:p>
        </w:tc>
        <w:tc>
          <w:tcPr>
            <w:tcW w:w="7020" w:type="dxa"/>
            <w:vAlign w:val="bottom"/>
            <w:tcBorders>
              <w:top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480" w:type="dxa"/>
            <w:vAlign w:val="bottom"/>
            <w:tcBorders>
              <w:top w:val="single" w:sz="8" w:color="CFF0FC"/>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88,639</w:t>
            </w:r>
          </w:p>
        </w:tc>
        <w:tc>
          <w:tcPr>
            <w:tcW w:w="16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29,446</w:t>
            </w:r>
          </w:p>
        </w:tc>
        <w:tc>
          <w:tcPr>
            <w:tcW w:w="120" w:type="dxa"/>
            <w:vAlign w:val="bottom"/>
            <w:tcBorders>
              <w:top w:val="single" w:sz="8" w:color="CFF0FC"/>
            </w:tcBorders>
          </w:tcPr>
          <w:p>
            <w:pPr>
              <w:spacing w:after="0"/>
              <w:rPr>
                <w:sz w:val="18"/>
                <w:szCs w:val="18"/>
                <w:color w:val="auto"/>
              </w:rPr>
            </w:pPr>
          </w:p>
        </w:tc>
        <w:tc>
          <w:tcPr>
            <w:tcW w:w="60" w:type="dxa"/>
            <w:vAlign w:val="bottom"/>
          </w:tcPr>
          <w:p>
            <w:pPr>
              <w:spacing w:after="0"/>
              <w:rPr>
                <w:sz w:val="18"/>
                <w:szCs w:val="18"/>
                <w:color w:val="auto"/>
              </w:rPr>
            </w:pPr>
          </w:p>
        </w:tc>
      </w:tr>
      <w:tr>
        <w:trPr>
          <w:trHeight w:val="210"/>
        </w:trPr>
        <w:tc>
          <w:tcPr>
            <w:tcW w:w="80" w:type="dxa"/>
            <w:vAlign w:val="bottom"/>
          </w:tcPr>
          <w:p>
            <w:pPr>
              <w:spacing w:after="0"/>
              <w:rPr>
                <w:sz w:val="18"/>
                <w:szCs w:val="18"/>
                <w:color w:val="auto"/>
              </w:rPr>
            </w:pPr>
          </w:p>
        </w:tc>
        <w:tc>
          <w:tcPr>
            <w:tcW w:w="7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change in cash and cash equivalents</w:t>
            </w:r>
          </w:p>
        </w:tc>
        <w:tc>
          <w:tcPr>
            <w:tcW w:w="4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(586)</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(475)</w:t>
            </w:r>
          </w:p>
        </w:tc>
        <w:tc>
          <w:tcPr>
            <w:tcW w:w="60" w:type="dxa"/>
            <w:vAlign w:val="bottom"/>
          </w:tcPr>
          <w:p>
            <w:pPr>
              <w:spacing w:after="0"/>
              <w:rPr>
                <w:sz w:val="18"/>
                <w:szCs w:val="18"/>
                <w:color w:val="auto"/>
              </w:rPr>
            </w:pPr>
          </w:p>
        </w:tc>
      </w:tr>
      <w:tr>
        <w:trPr>
          <w:trHeight w:val="210"/>
        </w:trPr>
        <w:tc>
          <w:tcPr>
            <w:tcW w:w="80" w:type="dxa"/>
            <w:vAlign w:val="bottom"/>
          </w:tcPr>
          <w:p>
            <w:pPr>
              <w:spacing w:after="0"/>
              <w:rPr>
                <w:sz w:val="18"/>
                <w:szCs w:val="18"/>
                <w:color w:val="auto"/>
              </w:rPr>
            </w:pPr>
          </w:p>
        </w:tc>
        <w:tc>
          <w:tcPr>
            <w:tcW w:w="70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480" w:type="dxa"/>
            <w:vAlign w:val="bottom"/>
            <w:tcBorders>
              <w:top w:val="single" w:sz="8" w:color="CFF0FC"/>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2,832</w:t>
            </w:r>
          </w:p>
        </w:tc>
        <w:tc>
          <w:tcPr>
            <w:tcW w:w="16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3,141</w:t>
            </w:r>
          </w:p>
        </w:tc>
        <w:tc>
          <w:tcPr>
            <w:tcW w:w="120" w:type="dxa"/>
            <w:vAlign w:val="bottom"/>
            <w:tcBorders>
              <w:top w:val="single" w:sz="8" w:color="CFF0FC"/>
            </w:tcBorders>
          </w:tcPr>
          <w:p>
            <w:pPr>
              <w:spacing w:after="0"/>
              <w:rPr>
                <w:sz w:val="18"/>
                <w:szCs w:val="18"/>
                <w:color w:val="auto"/>
              </w:rPr>
            </w:pPr>
          </w:p>
        </w:tc>
        <w:tc>
          <w:tcPr>
            <w:tcW w:w="60" w:type="dxa"/>
            <w:vAlign w:val="bottom"/>
          </w:tcPr>
          <w:p>
            <w:pPr>
              <w:spacing w:after="0"/>
              <w:rPr>
                <w:sz w:val="18"/>
                <w:szCs w:val="18"/>
                <w:color w:val="auto"/>
              </w:rPr>
            </w:pPr>
          </w:p>
        </w:tc>
      </w:tr>
      <w:tr>
        <w:trPr>
          <w:trHeight w:val="230"/>
        </w:trPr>
        <w:tc>
          <w:tcPr>
            <w:tcW w:w="80" w:type="dxa"/>
            <w:vAlign w:val="bottom"/>
          </w:tcPr>
          <w:p>
            <w:pPr>
              <w:spacing w:after="0"/>
              <w:rPr>
                <w:sz w:val="19"/>
                <w:szCs w:val="19"/>
                <w:color w:val="auto"/>
              </w:rPr>
            </w:pPr>
          </w:p>
        </w:tc>
        <w:tc>
          <w:tcPr>
            <w:tcW w:w="7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7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2,246</w:t>
            </w:r>
          </w:p>
        </w:tc>
        <w:tc>
          <w:tcPr>
            <w:tcW w:w="160" w:type="dxa"/>
            <w:vAlign w:val="bottom"/>
            <w:shd w:val="clear" w:color="auto" w:fill="CFF0FC"/>
          </w:tcPr>
          <w:p>
            <w:pPr>
              <w:spacing w:after="0"/>
              <w:rPr>
                <w:sz w:val="19"/>
                <w:szCs w:val="19"/>
                <w:color w:val="auto"/>
              </w:rPr>
            </w:pPr>
          </w:p>
        </w:tc>
        <w:tc>
          <w:tcPr>
            <w:tcW w:w="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2,666</w:t>
            </w:r>
          </w:p>
        </w:tc>
        <w:tc>
          <w:tcPr>
            <w:tcW w:w="120" w:type="dxa"/>
            <w:vAlign w:val="bottom"/>
            <w:shd w:val="clear" w:color="auto" w:fill="CFF0FC"/>
          </w:tcPr>
          <w:p>
            <w:pPr>
              <w:spacing w:after="0"/>
              <w:rPr>
                <w:sz w:val="19"/>
                <w:szCs w:val="19"/>
                <w:color w:val="auto"/>
              </w:rPr>
            </w:pPr>
          </w:p>
        </w:tc>
        <w:tc>
          <w:tcPr>
            <w:tcW w:w="60" w:type="dxa"/>
            <w:vAlign w:val="bottom"/>
          </w:tcPr>
          <w:p>
            <w:pPr>
              <w:spacing w:after="0"/>
              <w:rPr>
                <w:sz w:val="19"/>
                <w:szCs w:val="19"/>
                <w:color w:val="auto"/>
              </w:rPr>
            </w:pPr>
          </w:p>
        </w:tc>
      </w:tr>
      <w:tr>
        <w:trPr>
          <w:trHeight w:val="20"/>
        </w:trPr>
        <w:tc>
          <w:tcPr>
            <w:tcW w:w="80" w:type="dxa"/>
            <w:vAlign w:val="bottom"/>
          </w:tcPr>
          <w:p>
            <w:pPr>
              <w:spacing w:after="0" w:line="20" w:lineRule="exact"/>
              <w:rPr>
                <w:sz w:val="1"/>
                <w:szCs w:val="1"/>
                <w:color w:val="auto"/>
              </w:rPr>
            </w:pPr>
          </w:p>
        </w:tc>
        <w:tc>
          <w:tcPr>
            <w:tcW w:w="7020" w:type="dxa"/>
            <w:vAlign w:val="bottom"/>
            <w:tcBorders>
              <w:top w:val="single" w:sz="8" w:color="CFF0FC"/>
            </w:tcBorders>
            <w:shd w:val="clear" w:color="auto" w:fill="CFF0FC"/>
          </w:tcPr>
          <w:p>
            <w:pPr>
              <w:spacing w:after="0" w:line="20" w:lineRule="exact"/>
              <w:rPr>
                <w:sz w:val="1"/>
                <w:szCs w:val="1"/>
                <w:color w:val="auto"/>
              </w:rPr>
            </w:pPr>
          </w:p>
        </w:tc>
        <w:tc>
          <w:tcPr>
            <w:tcW w:w="48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13"/>
        </w:trPr>
        <w:tc>
          <w:tcPr>
            <w:tcW w:w="71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Supplemental disclosures of cash flow information:</w:t>
            </w: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6"/>
        </w:trPr>
        <w:tc>
          <w:tcPr>
            <w:tcW w:w="80" w:type="dxa"/>
            <w:vAlign w:val="bottom"/>
          </w:tcPr>
          <w:p>
            <w:pPr>
              <w:spacing w:after="0"/>
              <w:rPr>
                <w:sz w:val="18"/>
                <w:szCs w:val="18"/>
                <w:color w:val="auto"/>
              </w:rPr>
            </w:pPr>
          </w:p>
        </w:tc>
        <w:tc>
          <w:tcPr>
            <w:tcW w:w="7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paid during the period for:</w:t>
            </w:r>
          </w:p>
        </w:tc>
        <w:tc>
          <w:tcPr>
            <w:tcW w:w="4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80" w:type="dxa"/>
            <w:vAlign w:val="bottom"/>
          </w:tcPr>
          <w:p>
            <w:pPr>
              <w:spacing w:after="0"/>
              <w:rPr>
                <w:sz w:val="18"/>
                <w:szCs w:val="18"/>
                <w:color w:val="auto"/>
              </w:rPr>
            </w:pPr>
          </w:p>
        </w:tc>
        <w:tc>
          <w:tcPr>
            <w:tcW w:w="7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net of amounts capitalized</w:t>
            </w: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9,359</w:t>
            </w:r>
          </w:p>
        </w:tc>
        <w:tc>
          <w:tcPr>
            <w:tcW w:w="160" w:type="dxa"/>
            <w:vAlign w:val="bottom"/>
          </w:tcPr>
          <w:p>
            <w:pPr>
              <w:spacing w:after="0"/>
              <w:rPr>
                <w:sz w:val="18"/>
                <w:szCs w:val="18"/>
                <w:color w:val="auto"/>
              </w:rPr>
            </w:pP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9,013</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80" w:type="dxa"/>
            <w:vAlign w:val="bottom"/>
          </w:tcPr>
          <w:p>
            <w:pPr>
              <w:spacing w:after="0"/>
              <w:rPr>
                <w:sz w:val="18"/>
                <w:szCs w:val="18"/>
                <w:color w:val="auto"/>
              </w:rPr>
            </w:pPr>
          </w:p>
        </w:tc>
        <w:tc>
          <w:tcPr>
            <w:tcW w:w="70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Income taxes, net of refunds</w:t>
            </w:r>
          </w:p>
        </w:tc>
        <w:tc>
          <w:tcPr>
            <w:tcW w:w="4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(93)</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12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r>
      <w:tr>
        <w:trPr>
          <w:trHeight w:val="432"/>
        </w:trPr>
        <w:tc>
          <w:tcPr>
            <w:tcW w:w="71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Supplemental schedule of noncash activities:</w:t>
            </w: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6"/>
        </w:trPr>
        <w:tc>
          <w:tcPr>
            <w:tcW w:w="80" w:type="dxa"/>
            <w:vAlign w:val="bottom"/>
          </w:tcPr>
          <w:p>
            <w:pPr>
              <w:spacing w:after="0"/>
              <w:rPr>
                <w:sz w:val="18"/>
                <w:szCs w:val="18"/>
                <w:color w:val="auto"/>
              </w:rPr>
            </w:pPr>
          </w:p>
        </w:tc>
        <w:tc>
          <w:tcPr>
            <w:tcW w:w="70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Purchases of property and equipment included in accounts payable and accrued expenses</w:t>
            </w:r>
          </w:p>
        </w:tc>
        <w:tc>
          <w:tcPr>
            <w:tcW w:w="7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2,479</w:t>
            </w:r>
          </w:p>
        </w:tc>
        <w:tc>
          <w:tcPr>
            <w:tcW w:w="160" w:type="dxa"/>
            <w:vAlign w:val="bottom"/>
            <w:shd w:val="clear" w:color="auto" w:fill="CFF0FC"/>
          </w:tcPr>
          <w:p>
            <w:pPr>
              <w:spacing w:after="0"/>
              <w:rPr>
                <w:sz w:val="18"/>
                <w:szCs w:val="18"/>
                <w:color w:val="auto"/>
              </w:rPr>
            </w:pPr>
          </w:p>
        </w:tc>
        <w:tc>
          <w:tcPr>
            <w:tcW w:w="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774</w:t>
            </w:r>
          </w:p>
        </w:tc>
        <w:tc>
          <w:tcPr>
            <w:tcW w:w="12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r>
      <w:tr>
        <w:trPr>
          <w:trHeight w:val="256"/>
        </w:trPr>
        <w:tc>
          <w:tcPr>
            <w:tcW w:w="80" w:type="dxa"/>
            <w:vAlign w:val="bottom"/>
          </w:tcPr>
          <w:p>
            <w:pPr>
              <w:spacing w:after="0"/>
              <w:rPr>
                <w:sz w:val="22"/>
                <w:szCs w:val="22"/>
                <w:color w:val="auto"/>
              </w:rPr>
            </w:pPr>
          </w:p>
        </w:tc>
        <w:tc>
          <w:tcPr>
            <w:tcW w:w="9260" w:type="dxa"/>
            <w:vAlign w:val="bottom"/>
            <w:gridSpan w:val="5"/>
          </w:tcPr>
          <w:p>
            <w:pPr>
              <w:jc w:val="center"/>
              <w:ind w:left="1730"/>
              <w:spacing w:after="0"/>
              <w:rPr>
                <w:sz w:val="20"/>
                <w:szCs w:val="20"/>
                <w:color w:val="auto"/>
              </w:rPr>
            </w:pPr>
            <w:r>
              <w:rPr>
                <w:rFonts w:ascii="Times New Roman" w:cs="Times New Roman" w:eastAsia="Times New Roman" w:hAnsi="Times New Roman"/>
                <w:sz w:val="18"/>
                <w:szCs w:val="18"/>
                <w:color w:val="auto"/>
                <w:w w:val="99"/>
              </w:rPr>
              <w:t>The accompanying notes are an integral part of these condensed consolidated financial statements.</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648"/>
        </w:trPr>
        <w:tc>
          <w:tcPr>
            <w:tcW w:w="7100" w:type="dxa"/>
            <w:vAlign w:val="bottom"/>
            <w:gridSpan w:val="2"/>
          </w:tcPr>
          <w:p>
            <w:pPr>
              <w:jc w:val="right"/>
              <w:ind w:right="1350"/>
              <w:spacing w:after="0"/>
              <w:rPr>
                <w:sz w:val="20"/>
                <w:szCs w:val="20"/>
                <w:color w:val="auto"/>
              </w:rPr>
            </w:pPr>
            <w:r>
              <w:rPr>
                <w:rFonts w:ascii="Times New Roman" w:cs="Times New Roman" w:eastAsia="Times New Roman" w:hAnsi="Times New Roman"/>
                <w:sz w:val="18"/>
                <w:szCs w:val="18"/>
                <w:color w:val="auto"/>
              </w:rPr>
              <w:t>8</w:t>
            </w: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763"/>
        </w:trPr>
        <w:tc>
          <w:tcPr>
            <w:tcW w:w="80" w:type="dxa"/>
            <w:vAlign w:val="bottom"/>
            <w:tcBorders>
              <w:bottom w:val="single" w:sz="8" w:color="9A9A9A"/>
            </w:tcBorders>
          </w:tcPr>
          <w:p>
            <w:pPr>
              <w:spacing w:after="0"/>
              <w:rPr>
                <w:sz w:val="24"/>
                <w:szCs w:val="24"/>
                <w:color w:val="auto"/>
              </w:rPr>
            </w:pPr>
          </w:p>
        </w:tc>
        <w:tc>
          <w:tcPr>
            <w:tcW w:w="702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-4457065</wp:posOffset>
            </wp:positionV>
            <wp:extent cx="685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-4457065</wp:posOffset>
            </wp:positionV>
            <wp:extent cx="7747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-3891280</wp:posOffset>
            </wp:positionV>
            <wp:extent cx="685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-3891280</wp:posOffset>
            </wp:positionV>
            <wp:extent cx="7747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-2776855</wp:posOffset>
            </wp:positionV>
            <wp:extent cx="685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-2776855</wp:posOffset>
            </wp:positionV>
            <wp:extent cx="7747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-2485390</wp:posOffset>
            </wp:positionV>
            <wp:extent cx="6858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-2485390</wp:posOffset>
            </wp:positionV>
            <wp:extent cx="7747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-2193925</wp:posOffset>
            </wp:positionV>
            <wp:extent cx="685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-2176780</wp:posOffset>
            </wp:positionV>
            <wp:extent cx="6858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-2193925</wp:posOffset>
            </wp:positionV>
            <wp:extent cx="7747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-2176780</wp:posOffset>
            </wp:positionV>
            <wp:extent cx="7747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8185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b w:val="1"/>
          <w:bCs w:val="1"/>
          <w:color w:val="auto"/>
        </w:rPr>
        <w:t>SPORTSMAN’S WAREHOUSE HOLDINGS, INC.</w:t>
      </w:r>
    </w:p>
    <w:p>
      <w:pPr>
        <w:spacing w:after="0" w:line="117"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131"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 (unaudited)</w:t>
      </w:r>
    </w:p>
    <w:p>
      <w:pPr>
        <w:spacing w:after="0" w:line="311" w:lineRule="exact"/>
        <w:rPr>
          <w:sz w:val="20"/>
          <w:szCs w:val="20"/>
          <w:color w:val="auto"/>
        </w:rPr>
      </w:pPr>
    </w:p>
    <w:p>
      <w:pPr>
        <w:ind w:right="7200" w:firstLine="8"/>
        <w:spacing w:after="0" w:line="378" w:lineRule="auto"/>
        <w:tabs>
          <w:tab w:leader="none" w:pos="255"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Description of Business and Basis of Presentation Description of Business</w:t>
      </w:r>
    </w:p>
    <w:p>
      <w:pPr>
        <w:ind w:right="340"/>
        <w:spacing w:after="0" w:line="266" w:lineRule="auto"/>
        <w:rPr>
          <w:sz w:val="20"/>
          <w:szCs w:val="20"/>
          <w:color w:val="auto"/>
        </w:rPr>
      </w:pPr>
      <w:r>
        <w:rPr>
          <w:rFonts w:ascii="Times New Roman" w:cs="Times New Roman" w:eastAsia="Times New Roman" w:hAnsi="Times New Roman"/>
          <w:sz w:val="18"/>
          <w:szCs w:val="18"/>
          <w:color w:val="auto"/>
        </w:rPr>
        <w:t>Sportsman’s Warehouse Holdings, Inc., a Delaware corporation (“Holdings”), and its subsidiaries (collectively, the “Company”) operate retail sporting goods stores. As of November 1, 2025, the Company operated 146 stores in 32 states. The Company also operates an e-commerce platform at www.sportsmans.com. The Company’s stores and website are aggregated into one operating and reportable segment.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12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The condensed consolidated financial statements included herein are unaudited and have been prepared by management of the Company pursuant to the rules and regulations of the Securities and Exchange Commission (“SEC”). Certain information and footnote disclosures normally included in financial statements prepared in accordance with accounting principles generally accepted in the United States of America (“GAAP”) have been condensed or omitted pursuant to such rules and regulations. The Company’s condensed consolidated balance sheet as of February 1, 2025 was derived from the Company’s audited consolidated balance sheet as of that date. All other condensed consolidated financial statements contained herein are unaudited and reflect all adjustments that are, in the opinion of management, necessary to summarize fairly the Company</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s condensed consolidated financial statements for the periods presented. All of these adjustments are of a normal recurring nature. The results of the fiscal quarter ended November 1, 2025 are not necessarily indicative of the results to be obtained for the fiscal year ending January 31, 2026. These condensed consolidated financial statements should be read in conjunction with the Company’s audited consolidated financial statements and notes thereto included in the Company’s Annual Report on Form 10-K for the fiscal year ended February 1, 2025 filed with the SEC on April 2, 2025 (the “Fiscal 2024 Form 10-K”).</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121" w:lineRule="exact"/>
        <w:rPr>
          <w:sz w:val="20"/>
          <w:szCs w:val="20"/>
          <w:color w:val="auto"/>
        </w:rPr>
      </w:pPr>
    </w:p>
    <w:p>
      <w:pPr>
        <w:ind w:right="800"/>
        <w:spacing w:after="0" w:line="282" w:lineRule="auto"/>
        <w:rPr>
          <w:sz w:val="20"/>
          <w:szCs w:val="20"/>
          <w:color w:val="auto"/>
        </w:rPr>
      </w:pPr>
      <w:r>
        <w:rPr>
          <w:rFonts w:ascii="Times New Roman" w:cs="Times New Roman" w:eastAsia="Times New Roman" w:hAnsi="Times New Roman"/>
          <w:sz w:val="18"/>
          <w:szCs w:val="18"/>
          <w:color w:val="auto"/>
        </w:rPr>
        <w:t>The Company’s significant accounting policies are described in Note 2 to the Fiscal 2024 Form 10-K. The Company has consistently applied the accounting policies to all periods presented in the condensed consolidated financial statements presented herein.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December 2023, the Financial Accounting Standards Board (“FASB”) issued ASU No. 2023-09, Income Taxes (Topic 740)—Improvements to Income Tax Disclosures, which include improvements to income tax disclosures by requiring (1) consistent categories and greater disaggregation of information in the rate reconciliation and (2) income taxes paid disaggregated by jurisdiction. This ASU also includes certain other amendments to better align disclosures with Regulation S-X and to remove disclosures no longer considered cost beneficial or relevant. This ASU is effective for public entities for annual periods beginning after December 15, 2024, with earlier or retrospective application permitted. The amendments in this ASU should be applied prospectively for annual financial statements not yet issued or made available for issuance. The Company is evaluating the future impact of the issuance of this ASU on its consolidated financial statements.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November 2024, the FASB issued ASU No. 2024-03, Income Statement—Reporting Comprehensive Income—Expense Disaggregation Disclosures (Subtopic 220-40), which includes improvements to the disclosures in the notes to the financial statements of specified information about certain costs and expenses. This ASU requires the disclosure of (1) amounts of certain relevant expenses included in each caption on the face of the financial statements, (2) certain amounts that are already required to be disclosed under GAAP in the same disclosure as the other disaggregation requirements, (3) a qualitative description of the amounts remaining in relevant expense captions that are not</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separately disaggregated quantitatively, and (4) the total amount of selling expenses and, in annual reporting periods, an entity's definition of selling expenses. This ASU is effective for public entities for annual periods beginning after December 15, 2026, and interim reporting periods beginning after December 15, 2027 with early adoption permitted. The Company is evaluating the future impact of the issuance of this ASU on its consolidated financial statements.</w:t>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Revenue Recognition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recognition accounting policy</w:t>
      </w:r>
    </w:p>
    <w:p>
      <w:pPr>
        <w:spacing w:after="0" w:line="11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Company operates solely as an outdoor retailer, which includes both retail stores and an e-commerce platform, that offers a broad range of products in the United States and online. Generally, all revenues are recognized when control of the promised goods is transferred to customers, in an amount that reflects the consideration in exchange for those goods. Accordingly, the Company implicitly enters into a contract with customers to deliver merchandise inventory at the point of sale. Collectability is reasonably assured since the Company only extends immaterial credit for purchases to certain municipalities.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Substantially all of the Company’s revenue is for single performance obligations for the following distinct items:</w:t>
      </w:r>
    </w:p>
    <w:p>
      <w:pPr>
        <w:spacing w:after="0" w:line="117" w:lineRule="exact"/>
        <w:rPr>
          <w:sz w:val="20"/>
          <w:szCs w:val="20"/>
          <w:color w:val="auto"/>
        </w:rPr>
      </w:pPr>
    </w:p>
    <w:p>
      <w:pPr>
        <w:ind w:left="900" w:hanging="518"/>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Retail store sales</w:t>
      </w:r>
    </w:p>
    <w:p>
      <w:pPr>
        <w:spacing w:after="0" w:line="117" w:lineRule="exact"/>
        <w:rPr>
          <w:rFonts w:ascii="Times New Roman" w:cs="Times New Roman" w:eastAsia="Times New Roman" w:hAnsi="Times New Roman"/>
          <w:sz w:val="18"/>
          <w:szCs w:val="18"/>
          <w:color w:val="auto"/>
        </w:rPr>
      </w:pPr>
    </w:p>
    <w:p>
      <w:pPr>
        <w:ind w:left="900" w:hanging="518"/>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E-commerce sales</w:t>
      </w:r>
    </w:p>
    <w:p>
      <w:pPr>
        <w:spacing w:after="0" w:line="117" w:lineRule="exact"/>
        <w:rPr>
          <w:rFonts w:ascii="Times New Roman" w:cs="Times New Roman" w:eastAsia="Times New Roman" w:hAnsi="Times New Roman"/>
          <w:sz w:val="18"/>
          <w:szCs w:val="18"/>
          <w:color w:val="auto"/>
        </w:rPr>
      </w:pPr>
    </w:p>
    <w:p>
      <w:pPr>
        <w:ind w:left="900" w:hanging="518"/>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Gift cards and loyalty rewards program</w:t>
      </w:r>
    </w:p>
    <w:p>
      <w:pPr>
        <w:spacing w:after="0" w:line="225"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For performance obligations related to retail store and e-commerce sales contracts, the Company typically transfers control, for retail stores, upon consummation of the sale when the product is paid for and taken by the customer and, for e-commerce sales, when the products are tendered for delivery to the common carrier.</w:t>
      </w:r>
    </w:p>
    <w:p>
      <w:pPr>
        <w:spacing w:after="0" w:line="17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transaction price for each contract is the stated price on the product, reduced by any stated discounts at that point in time. The Company does not engage in sales of products that attach a future material right which could result in a separate performance obligation for the purchase of goods in the future at a material discount. The implicit point-of-sale contract with the customer, as reflected in the transaction receipt, states the final terms of the sale, including the description, quantity, and price of each product purchased. Payment for the Company’s contracts is due in full upon delivery. The customer agrees to a stated price implicit in the contract that does not vary over the contract.</w:t>
      </w:r>
    </w:p>
    <w:p>
      <w:pPr>
        <w:spacing w:after="0" w:line="183" w:lineRule="exact"/>
        <w:rPr>
          <w:sz w:val="20"/>
          <w:szCs w:val="20"/>
          <w:color w:val="auto"/>
        </w:rPr>
      </w:pPr>
    </w:p>
    <w:p>
      <w:pPr>
        <w:ind w:right="200"/>
        <w:spacing w:after="0" w:line="255" w:lineRule="auto"/>
        <w:rPr>
          <w:sz w:val="20"/>
          <w:szCs w:val="20"/>
          <w:color w:val="auto"/>
        </w:rPr>
      </w:pPr>
      <w:r>
        <w:rPr>
          <w:rFonts w:ascii="Times New Roman" w:cs="Times New Roman" w:eastAsia="Times New Roman" w:hAnsi="Times New Roman"/>
          <w:sz w:val="18"/>
          <w:szCs w:val="18"/>
          <w:color w:val="auto"/>
        </w:rPr>
        <w:t>The transaction price relative to sales subject to a right of return reflects the amount of estimated consideration to which the Company expects to be entitled. This amount of variable consideration included in the transaction price, and measurement of net sales, is included in net sales only to the extent that it is probable that there will be no significant reversal in a future period. Actual amounts of consideration ultimately received may differ from the Company’s estimates. The allowance for sales returns is estimated based upon historical experience and a provision for estimated returns is recorded as a reduction in sales in the relevant period. The estimated merchandise inventory cost related to the sales returns is recorded in prepaid expenses and other. The estimated refund liabilities are recorded in accrued expenses. If actual results in the future vary from the Company’s estimates, the Company adjusts these estimates, which would affect net sales and earnings in the period such variances become known.</w:t>
      </w:r>
    </w:p>
    <w:p>
      <w:pPr>
        <w:spacing w:after="0" w:line="189" w:lineRule="exact"/>
        <w:rPr>
          <w:sz w:val="20"/>
          <w:szCs w:val="20"/>
          <w:color w:val="auto"/>
        </w:rPr>
      </w:pPr>
    </w:p>
    <w:p>
      <w:pPr>
        <w:ind w:right="360"/>
        <w:spacing w:after="0" w:line="258" w:lineRule="auto"/>
        <w:rPr>
          <w:sz w:val="20"/>
          <w:szCs w:val="20"/>
          <w:color w:val="auto"/>
        </w:rPr>
      </w:pPr>
      <w:r>
        <w:rPr>
          <w:rFonts w:ascii="Times New Roman" w:cs="Times New Roman" w:eastAsia="Times New Roman" w:hAnsi="Times New Roman"/>
          <w:sz w:val="18"/>
          <w:szCs w:val="18"/>
          <w:color w:val="auto"/>
        </w:rPr>
        <w:t>Contract liabilities are recognized primarily for gift card sales and the Company’s loyalty reward program. Cash received from the sale of gift cards is recorded as a contract liability in accrued expenses, and the Company recognizes revenue upon the customer’s redemption of the gift card. Gift card breakage is recognized as revenue in proportion to the pattern of customer redemptions by applying a historical breakage rate of 4.0% when no escheat liability to relevant jurisdictions exists. Based upon historical experience, gift cards are predominantly redeemed in the first two years following their issuance date. The Company does not sell or provide gift cards that carry expiration dates.</w:t>
      </w:r>
    </w:p>
    <w:p>
      <w:pPr>
        <w:spacing w:after="0" w:line="183"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Accounting Standards Codification (“ASC”) 606 requires the Company to allocate the transaction price between the goods and the loyalty reward points based on the relative standalone selling price. The Company recognizes revenue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for the breakage of loyalty reward points as revenue in proportion to the pattern of customer redemption of the points by applying an estimated breakage rate of 45.0% using historical rates and future expectations.</w:t>
      </w:r>
    </w:p>
    <w:p>
      <w:pPr>
        <w:spacing w:after="0" w:line="162"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As it relates to e-commerce sales, the Company accounts for shipping and handling as fulfillment activities, and not as a separate performance obligation. Accordingly, the Company recognizes revenue for only one performance obligation, the sale of the product, at the shipping point (when the customer gains control). Revenue associated with shipping and handling is not material. The costs associated with fulfillment are recorded in costs of goods sold.</w:t>
      </w:r>
    </w:p>
    <w:p>
      <w:pPr>
        <w:spacing w:after="0" w:line="176"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The Company offers promotional financing and credit cards issued by a third-party bank that manages and directly extends credit to the Company’s customers. The Company provides a license to its brand and marketing services, and the Company facilitates credit applications in its stores and online. The banks are the sole owners of the accounts receivable generated under the program and, accordingly, the Company does not hold any customer receivables related to these programs and acts as an agent in the financing transactions with customers. The Company is eligible to receive a profit share from certain of its banking partners based on the annual performance of their corresponding portfolio, and the Company receives monthly payments based on forecasts of full-year performance. This is a form of variable consideration. The Company records such profit share as revenue over time using the most likely amount method, which reflects the amount earned each month when it is determined that the likelihood of a significant revenue reversal is not probable, which is typically monthly. Profit-share payments occur monthly, shortly after the end of each program month.</w:t>
      </w:r>
    </w:p>
    <w:p>
      <w:pPr>
        <w:spacing w:after="0" w:line="192"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Taxes assessed by a governmental authority that are both imposed on and concurrent with a specific revenue-producing transaction, that are collected by the Company from a customer, are excluded from revenue.</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returns</w:t>
      </w:r>
    </w:p>
    <w:p>
      <w:pPr>
        <w:spacing w:after="0" w:line="133"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Company allows customers to return items purchased within 30 days provided the merchandise is in resaleable condition with original packaging and the original sales/gift receipt is presented. The Company estimates a reserve for sales returns and records the respective reserve amounts, including a right to return asset when a product is expected to be returned and resold. Historical experience of actual returns and customer return rights are the key factors used in determining the estimated sales returns.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balances</w:t>
      </w:r>
    </w:p>
    <w:p>
      <w:pPr>
        <w:spacing w:after="0" w:line="133"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about right of return assets, contract liabilities, and sales return liabilities with customers as of November 1, 2025 and February 1, 2025:</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4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November 1, 2025</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February 1, 2025</w:t>
            </w:r>
          </w:p>
        </w:tc>
        <w:tc>
          <w:tcPr>
            <w:tcW w:w="100" w:type="dxa"/>
            <w:vAlign w:val="bottom"/>
          </w:tcPr>
          <w:p>
            <w:pPr>
              <w:spacing w:after="0"/>
              <w:rPr>
                <w:sz w:val="15"/>
                <w:szCs w:val="15"/>
                <w:color w:val="auto"/>
              </w:rPr>
            </w:pPr>
          </w:p>
        </w:tc>
      </w:tr>
      <w:tr>
        <w:trPr>
          <w:trHeight w:val="210"/>
        </w:trPr>
        <w:tc>
          <w:tcPr>
            <w:tcW w:w="6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Right of return assets, which are included in prepaid expenses and other</w:t>
            </w:r>
          </w:p>
        </w:tc>
        <w:tc>
          <w:tcPr>
            <w:tcW w:w="14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2,465</w:t>
            </w:r>
          </w:p>
        </w:tc>
        <w:tc>
          <w:tcPr>
            <w:tcW w:w="2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1,732</w:t>
            </w:r>
          </w:p>
        </w:tc>
      </w:tr>
      <w:tr>
        <w:trPr>
          <w:trHeight w:val="216"/>
        </w:trPr>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Estimated gift card contract liability, net of breakage</w:t>
            </w: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(27,645)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(30,872)</w:t>
            </w:r>
          </w:p>
        </w:tc>
      </w:tr>
      <w:tr>
        <w:trPr>
          <w:trHeight w:val="216"/>
        </w:trPr>
        <w:tc>
          <w:tcPr>
            <w:tcW w:w="6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Estimated loyalty contract liability, net of breakage</w:t>
            </w:r>
          </w:p>
        </w:tc>
        <w:tc>
          <w:tcPr>
            <w:tcW w:w="1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(822)</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(2,606)</w:t>
            </w:r>
          </w:p>
        </w:tc>
      </w:tr>
      <w:tr>
        <w:trPr>
          <w:trHeight w:val="234"/>
        </w:trPr>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Sales return liabilities, which are included in accrued expenses</w:t>
            </w:r>
          </w:p>
        </w:tc>
        <w:tc>
          <w:tcPr>
            <w:tcW w:w="1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(3,679)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(2,585)</w:t>
            </w:r>
          </w:p>
        </w:tc>
      </w:tr>
    </w:tbl>
    <w:p>
      <w:pPr>
        <w:spacing w:after="0" w:line="179" w:lineRule="exact"/>
        <w:rPr>
          <w:sz w:val="20"/>
          <w:szCs w:val="20"/>
          <w:color w:val="auto"/>
        </w:rPr>
      </w:pPr>
    </w:p>
    <w:p>
      <w:pPr>
        <w:jc w:val="both"/>
        <w:ind w:right="160"/>
        <w:spacing w:after="0" w:line="261" w:lineRule="auto"/>
        <w:rPr>
          <w:sz w:val="20"/>
          <w:szCs w:val="20"/>
          <w:color w:val="auto"/>
        </w:rPr>
      </w:pPr>
      <w:r>
        <w:rPr>
          <w:rFonts w:ascii="Times New Roman" w:cs="Times New Roman" w:eastAsia="Times New Roman" w:hAnsi="Times New Roman"/>
          <w:sz w:val="18"/>
          <w:szCs w:val="18"/>
          <w:color w:val="auto"/>
        </w:rPr>
        <w:t>During the 13 and 39 weeks ended November 1, 2025, the Company recognized approximately $320 and $1,017 in gift card breakage and approximately $1,565 and $3,811 in loyalty breakage, respectively. During the 13 and 39 weeks ended November 2, 2024, the Company recognized approximately $329 and $1,099 in gift card breakage and approximately $1,263 and $3,086 in loyalty breakage, respectively. During the 13 and 39 weeks ended November 1, 2025, the Company recognized revenue of $2,766 and $14,427, respectively, relating to contract liabilities that existed at February 1, 2025.</w:t>
      </w:r>
    </w:p>
    <w:p>
      <w:pPr>
        <w:spacing w:after="0" w:line="180"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current balance of the right of return assets is the expected amount of inventory to be returned that is expected to be resold. The current balance of the contract liabilities primarily relates to the gift card and loyalty reward program liabilities. The Company expects the revenue associated with these liabilities to be recognized in proportion to the pattern of customer redemptions over the next two years. The current balance of sales return liabilities is the expected amount of sales returns from sales that have occurred.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Disaggregation of revenue from contracts with customers</w:t>
      </w:r>
    </w:p>
    <w:p>
      <w:pPr>
        <w:spacing w:after="0" w:line="119"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In the following table, revenue from contracts with customers is disaggregated by department. The percentage of net sales related to the Company’s departments during the 13 and 39 weeks ended November 1, 2025 and November 2, 2024, was approximately:</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20" w:type="dxa"/>
            <w:vAlign w:val="bottom"/>
            <w:gridSpan w:val="6"/>
          </w:tcPr>
          <w:p>
            <w:pPr>
              <w:ind w:left="56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2720" w:type="dxa"/>
            <w:vAlign w:val="bottom"/>
            <w:gridSpan w:val="5"/>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Thirty-Nine Weeks Ended</w:t>
            </w:r>
          </w:p>
        </w:tc>
        <w:tc>
          <w:tcPr>
            <w:tcW w:w="0" w:type="dxa"/>
            <w:vAlign w:val="bottom"/>
          </w:tcPr>
          <w:p>
            <w:pPr>
              <w:spacing w:after="0"/>
              <w:rPr>
                <w:sz w:val="1"/>
                <w:szCs w:val="1"/>
                <w:color w:val="auto"/>
              </w:rPr>
            </w:pPr>
          </w:p>
        </w:tc>
      </w:tr>
      <w:tr>
        <w:trPr>
          <w:trHeight w:val="117"/>
        </w:trPr>
        <w:tc>
          <w:tcPr>
            <w:tcW w:w="15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Department</w:t>
            </w:r>
          </w:p>
        </w:tc>
        <w:tc>
          <w:tcPr>
            <w:tcW w:w="120" w:type="dxa"/>
            <w:vAlign w:val="bottom"/>
          </w:tcPr>
          <w:p>
            <w:pPr>
              <w:spacing w:after="0"/>
              <w:rPr>
                <w:sz w:val="10"/>
                <w:szCs w:val="10"/>
                <w:color w:val="auto"/>
              </w:rPr>
            </w:pPr>
          </w:p>
        </w:tc>
        <w:tc>
          <w:tcPr>
            <w:tcW w:w="3900" w:type="dxa"/>
            <w:vAlign w:val="bottom"/>
            <w:vMerge w:val="restart"/>
          </w:tcPr>
          <w:p>
            <w:pPr>
              <w:ind w:left="1380"/>
              <w:spacing w:after="0"/>
              <w:rPr>
                <w:sz w:val="20"/>
                <w:szCs w:val="20"/>
                <w:color w:val="auto"/>
              </w:rPr>
            </w:pPr>
            <w:r>
              <w:rPr>
                <w:rFonts w:ascii="Times New Roman" w:cs="Times New Roman" w:eastAsia="Times New Roman" w:hAnsi="Times New Roman"/>
                <w:sz w:val="14"/>
                <w:szCs w:val="14"/>
                <w:b w:val="1"/>
                <w:bCs w:val="1"/>
                <w:color w:val="auto"/>
              </w:rPr>
              <w:t>Product Offerings</w:t>
            </w:r>
          </w:p>
        </w:tc>
        <w:tc>
          <w:tcPr>
            <w:tcW w:w="100" w:type="dxa"/>
            <w:vAlign w:val="bottom"/>
            <w:vMerge w:val="restart"/>
          </w:tcPr>
          <w:p>
            <w:pPr>
              <w:spacing w:after="0"/>
              <w:rPr>
                <w:sz w:val="10"/>
                <w:szCs w:val="10"/>
                <w:color w:val="auto"/>
              </w:rPr>
            </w:pPr>
          </w:p>
        </w:tc>
        <w:tc>
          <w:tcPr>
            <w:tcW w:w="1400" w:type="dxa"/>
            <w:vAlign w:val="bottom"/>
            <w:tcBorders>
              <w:top w:val="single" w:sz="8" w:color="auto"/>
            </w:tcBorders>
            <w:gridSpan w:val="3"/>
          </w:tcPr>
          <w:p>
            <w:pPr>
              <w:jc w:val="center"/>
              <w:ind w:right="280"/>
              <w:spacing w:after="0" w:line="118" w:lineRule="exact"/>
              <w:rPr>
                <w:sz w:val="20"/>
                <w:szCs w:val="20"/>
                <w:color w:val="auto"/>
              </w:rPr>
            </w:pPr>
            <w:r>
              <w:rPr>
                <w:rFonts w:ascii="Times New Roman" w:cs="Times New Roman" w:eastAsia="Times New Roman" w:hAnsi="Times New Roman"/>
                <w:sz w:val="13"/>
                <w:szCs w:val="13"/>
                <w:b w:val="1"/>
                <w:bCs w:val="1"/>
                <w:color w:val="auto"/>
              </w:rPr>
              <w:t>November 1,</w:t>
            </w:r>
          </w:p>
        </w:tc>
        <w:tc>
          <w:tcPr>
            <w:tcW w:w="112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November 2,</w:t>
            </w: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0" w:type="dxa"/>
            <w:vAlign w:val="bottom"/>
            <w:tcBorders>
              <w:top w:val="single" w:sz="8" w:color="auto"/>
            </w:tcBorders>
            <w:gridSpan w:val="3"/>
          </w:tcPr>
          <w:p>
            <w:pPr>
              <w:jc w:val="center"/>
              <w:ind w:right="300"/>
              <w:spacing w:after="0" w:line="118" w:lineRule="exact"/>
              <w:rPr>
                <w:sz w:val="20"/>
                <w:szCs w:val="20"/>
                <w:color w:val="auto"/>
              </w:rPr>
            </w:pPr>
            <w:r>
              <w:rPr>
                <w:rFonts w:ascii="Times New Roman" w:cs="Times New Roman" w:eastAsia="Times New Roman" w:hAnsi="Times New Roman"/>
                <w:sz w:val="13"/>
                <w:szCs w:val="13"/>
                <w:b w:val="1"/>
                <w:bCs w:val="1"/>
                <w:color w:val="auto"/>
              </w:rPr>
              <w:t>November 1,</w:t>
            </w:r>
          </w:p>
        </w:tc>
        <w:tc>
          <w:tcPr>
            <w:tcW w:w="1140" w:type="dxa"/>
            <w:vAlign w:val="bottom"/>
            <w:tcBorders>
              <w:top w:val="single" w:sz="8" w:color="auto"/>
            </w:tcBorders>
          </w:tcPr>
          <w:p>
            <w:pPr>
              <w:jc w:val="right"/>
              <w:ind w:right="95"/>
              <w:spacing w:after="0" w:line="118" w:lineRule="exact"/>
              <w:rPr>
                <w:sz w:val="20"/>
                <w:szCs w:val="20"/>
                <w:color w:val="auto"/>
              </w:rPr>
            </w:pPr>
            <w:r>
              <w:rPr>
                <w:rFonts w:ascii="Times New Roman" w:cs="Times New Roman" w:eastAsia="Times New Roman" w:hAnsi="Times New Roman"/>
                <w:sz w:val="13"/>
                <w:szCs w:val="13"/>
                <w:b w:val="1"/>
                <w:bCs w:val="1"/>
                <w:color w:val="auto"/>
              </w:rPr>
              <w:t>November 2,</w:t>
            </w: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158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390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12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1580" w:type="dxa"/>
            <w:vAlign w:val="bottom"/>
            <w:shd w:val="clear" w:color="auto" w:fill="CFF0FC"/>
          </w:tcPr>
          <w:p>
            <w:pPr>
              <w:spacing w:after="0" w:line="191" w:lineRule="exact"/>
              <w:rPr>
                <w:sz w:val="20"/>
                <w:szCs w:val="20"/>
                <w:color w:val="auto"/>
              </w:rPr>
            </w:pPr>
            <w:r>
              <w:rPr>
                <w:rFonts w:ascii="Times New Roman" w:cs="Times New Roman" w:eastAsia="Times New Roman" w:hAnsi="Times New Roman"/>
                <w:sz w:val="18"/>
                <w:szCs w:val="18"/>
                <w:color w:val="auto"/>
              </w:rPr>
              <w:t>Camping</w:t>
            </w:r>
          </w:p>
        </w:tc>
        <w:tc>
          <w:tcPr>
            <w:tcW w:w="120" w:type="dxa"/>
            <w:vAlign w:val="bottom"/>
            <w:shd w:val="clear" w:color="auto" w:fill="CFF0FC"/>
          </w:tcPr>
          <w:p>
            <w:pPr>
              <w:spacing w:after="0"/>
              <w:rPr>
                <w:sz w:val="16"/>
                <w:szCs w:val="16"/>
                <w:color w:val="auto"/>
              </w:rPr>
            </w:pPr>
          </w:p>
        </w:tc>
        <w:tc>
          <w:tcPr>
            <w:tcW w:w="4000" w:type="dxa"/>
            <w:vAlign w:val="bottom"/>
            <w:gridSpan w:val="2"/>
            <w:shd w:val="clear" w:color="auto" w:fill="CFF0FC"/>
          </w:tcPr>
          <w:p>
            <w:pPr>
              <w:spacing w:after="0" w:line="191" w:lineRule="exact"/>
              <w:rPr>
                <w:sz w:val="20"/>
                <w:szCs w:val="20"/>
                <w:color w:val="auto"/>
              </w:rPr>
            </w:pPr>
            <w:r>
              <w:rPr>
                <w:rFonts w:ascii="Times New Roman" w:cs="Times New Roman" w:eastAsia="Times New Roman" w:hAnsi="Times New Roman"/>
                <w:sz w:val="18"/>
                <w:szCs w:val="18"/>
                <w:color w:val="auto"/>
              </w:rPr>
              <w:t>Backpacks, camp essentials, canoes and kayaks,</w:t>
            </w:r>
          </w:p>
        </w:tc>
        <w:tc>
          <w:tcPr>
            <w:tcW w:w="1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5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coolers, outdoor cooking equipment, sleeping bags,</w:t>
            </w:r>
          </w:p>
        </w:tc>
        <w:tc>
          <w:tcPr>
            <w:tcW w:w="1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5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40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tents and tools</w:t>
            </w:r>
          </w:p>
        </w:tc>
        <w:tc>
          <w:tcPr>
            <w:tcW w:w="1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shd w:val="clear" w:color="auto" w:fill="CFF0FC"/>
          </w:tcPr>
          <w:p>
            <w:pPr>
              <w:spacing w:after="0"/>
              <w:rPr>
                <w:sz w:val="20"/>
                <w:szCs w:val="20"/>
                <w:color w:val="auto"/>
              </w:rPr>
            </w:pPr>
          </w:p>
        </w:tc>
        <w:tc>
          <w:tcPr>
            <w:tcW w:w="1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11.7%</w:t>
            </w:r>
          </w:p>
        </w:tc>
        <w:tc>
          <w:tcPr>
            <w:tcW w:w="12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11.3%</w:t>
            </w:r>
          </w:p>
        </w:tc>
        <w:tc>
          <w:tcPr>
            <w:tcW w:w="120" w:type="dxa"/>
            <w:vAlign w:val="bottom"/>
            <w:shd w:val="clear" w:color="auto" w:fill="CFF0FC"/>
          </w:tcPr>
          <w:p>
            <w:pPr>
              <w:spacing w:after="0"/>
              <w:rPr>
                <w:sz w:val="20"/>
                <w:szCs w:val="20"/>
                <w:color w:val="auto"/>
              </w:rPr>
            </w:pPr>
          </w:p>
        </w:tc>
        <w:tc>
          <w:tcPr>
            <w:tcW w:w="1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r>
        <w:trPr>
          <w:trHeight w:val="198"/>
        </w:trPr>
        <w:tc>
          <w:tcPr>
            <w:tcW w:w="15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Apparel</w:t>
            </w:r>
          </w:p>
        </w:tc>
        <w:tc>
          <w:tcPr>
            <w:tcW w:w="120" w:type="dxa"/>
            <w:vAlign w:val="bottom"/>
          </w:tcPr>
          <w:p>
            <w:pPr>
              <w:spacing w:after="0"/>
              <w:rPr>
                <w:sz w:val="17"/>
                <w:szCs w:val="17"/>
                <w:color w:val="auto"/>
              </w:rPr>
            </w:pPr>
          </w:p>
        </w:tc>
        <w:tc>
          <w:tcPr>
            <w:tcW w:w="40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Camouflage, jackets, hats, outerwear, sportswear,</w:t>
            </w: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technical gear and work wear</w:t>
            </w: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Pr>
          <w:p>
            <w:pPr>
              <w:spacing w:after="0"/>
              <w:rPr>
                <w:sz w:val="20"/>
                <w:szCs w:val="20"/>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8.3%</w:t>
            </w:r>
          </w:p>
        </w:tc>
        <w:tc>
          <w:tcPr>
            <w:tcW w:w="120" w:type="dxa"/>
            <w:vAlign w:val="bottom"/>
          </w:tcPr>
          <w:p>
            <w:pPr>
              <w:spacing w:after="0"/>
              <w:rPr>
                <w:sz w:val="20"/>
                <w:szCs w:val="20"/>
                <w:color w:val="auto"/>
              </w:rPr>
            </w:pP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6.9%</w:t>
            </w:r>
          </w:p>
        </w:tc>
        <w:tc>
          <w:tcPr>
            <w:tcW w:w="120" w:type="dxa"/>
            <w:vAlign w:val="bottom"/>
          </w:tcPr>
          <w:p>
            <w:pPr>
              <w:spacing w:after="0"/>
              <w:rPr>
                <w:sz w:val="20"/>
                <w:szCs w:val="20"/>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198"/>
        </w:trPr>
        <w:tc>
          <w:tcPr>
            <w:tcW w:w="158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Fishing</w:t>
            </w:r>
          </w:p>
        </w:tc>
        <w:tc>
          <w:tcPr>
            <w:tcW w:w="120" w:type="dxa"/>
            <w:vAlign w:val="bottom"/>
            <w:shd w:val="clear" w:color="auto" w:fill="CFF0FC"/>
          </w:tcPr>
          <w:p>
            <w:pPr>
              <w:spacing w:after="0"/>
              <w:rPr>
                <w:sz w:val="17"/>
                <w:szCs w:val="17"/>
                <w:color w:val="auto"/>
              </w:rPr>
            </w:pPr>
          </w:p>
        </w:tc>
        <w:tc>
          <w:tcPr>
            <w:tcW w:w="4000" w:type="dxa"/>
            <w:vAlign w:val="bottom"/>
            <w:gridSpan w:val="2"/>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Bait, electronics, fishing rods, flotation items, fly</w:t>
            </w:r>
          </w:p>
        </w:tc>
        <w:tc>
          <w:tcPr>
            <w:tcW w:w="1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5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40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fishing, lines, lures, reels, tackle and small boats</w:t>
            </w:r>
          </w:p>
        </w:tc>
        <w:tc>
          <w:tcPr>
            <w:tcW w:w="1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shd w:val="clear" w:color="auto" w:fill="CFF0FC"/>
          </w:tcPr>
          <w:p>
            <w:pPr>
              <w:spacing w:after="0"/>
              <w:rPr>
                <w:sz w:val="20"/>
                <w:szCs w:val="20"/>
                <w:color w:val="auto"/>
              </w:rPr>
            </w:pPr>
          </w:p>
        </w:tc>
        <w:tc>
          <w:tcPr>
            <w:tcW w:w="1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8.1%</w:t>
            </w:r>
          </w:p>
        </w:tc>
        <w:tc>
          <w:tcPr>
            <w:tcW w:w="12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13.0%</w:t>
            </w:r>
          </w:p>
        </w:tc>
        <w:tc>
          <w:tcPr>
            <w:tcW w:w="120" w:type="dxa"/>
            <w:vAlign w:val="bottom"/>
            <w:shd w:val="clear" w:color="auto" w:fill="CFF0FC"/>
          </w:tcPr>
          <w:p>
            <w:pPr>
              <w:spacing w:after="0"/>
              <w:rPr>
                <w:sz w:val="20"/>
                <w:szCs w:val="20"/>
                <w:color w:val="auto"/>
              </w:rPr>
            </w:pPr>
          </w:p>
        </w:tc>
        <w:tc>
          <w:tcPr>
            <w:tcW w:w="1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11.9%</w:t>
            </w:r>
          </w:p>
        </w:tc>
        <w:tc>
          <w:tcPr>
            <w:tcW w:w="0" w:type="dxa"/>
            <w:vAlign w:val="bottom"/>
          </w:tcPr>
          <w:p>
            <w:pPr>
              <w:spacing w:after="0"/>
              <w:rPr>
                <w:sz w:val="1"/>
                <w:szCs w:val="1"/>
                <w:color w:val="auto"/>
              </w:rPr>
            </w:pPr>
          </w:p>
        </w:tc>
      </w:tr>
      <w:tr>
        <w:trPr>
          <w:trHeight w:val="198"/>
        </w:trPr>
        <w:tc>
          <w:tcPr>
            <w:tcW w:w="15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Footwear</w:t>
            </w:r>
          </w:p>
        </w:tc>
        <w:tc>
          <w:tcPr>
            <w:tcW w:w="120" w:type="dxa"/>
            <w:vAlign w:val="bottom"/>
          </w:tcPr>
          <w:p>
            <w:pPr>
              <w:spacing w:after="0"/>
              <w:rPr>
                <w:sz w:val="17"/>
                <w:szCs w:val="17"/>
                <w:color w:val="auto"/>
              </w:rPr>
            </w:pPr>
          </w:p>
        </w:tc>
        <w:tc>
          <w:tcPr>
            <w:tcW w:w="40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Hiking boots, socks, sport sandals, technical</w:t>
            </w: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footwear, trail shoes, casual shoes, waders and work</w:t>
            </w: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boots</w:t>
            </w: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Pr>
          <w:p>
            <w:pPr>
              <w:spacing w:after="0"/>
              <w:rPr>
                <w:sz w:val="20"/>
                <w:szCs w:val="20"/>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6.1%</w:t>
            </w:r>
          </w:p>
        </w:tc>
        <w:tc>
          <w:tcPr>
            <w:tcW w:w="120" w:type="dxa"/>
            <w:vAlign w:val="bottom"/>
          </w:tcPr>
          <w:p>
            <w:pPr>
              <w:spacing w:after="0"/>
              <w:rPr>
                <w:sz w:val="20"/>
                <w:szCs w:val="20"/>
                <w:color w:val="auto"/>
              </w:rPr>
            </w:pP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5.7%</w:t>
            </w:r>
          </w:p>
        </w:tc>
        <w:tc>
          <w:tcPr>
            <w:tcW w:w="120" w:type="dxa"/>
            <w:vAlign w:val="bottom"/>
          </w:tcPr>
          <w:p>
            <w:pPr>
              <w:spacing w:after="0"/>
              <w:rPr>
                <w:sz w:val="20"/>
                <w:szCs w:val="20"/>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198"/>
        </w:trPr>
        <w:tc>
          <w:tcPr>
            <w:tcW w:w="158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Hunting and</w:t>
            </w:r>
          </w:p>
        </w:tc>
        <w:tc>
          <w:tcPr>
            <w:tcW w:w="120" w:type="dxa"/>
            <w:vAlign w:val="bottom"/>
            <w:shd w:val="clear" w:color="auto" w:fill="CFF0FC"/>
          </w:tcPr>
          <w:p>
            <w:pPr>
              <w:spacing w:after="0"/>
              <w:rPr>
                <w:sz w:val="17"/>
                <w:szCs w:val="17"/>
                <w:color w:val="auto"/>
              </w:rPr>
            </w:pPr>
          </w:p>
        </w:tc>
        <w:tc>
          <w:tcPr>
            <w:tcW w:w="4000" w:type="dxa"/>
            <w:vAlign w:val="bottom"/>
            <w:gridSpan w:val="2"/>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Ammunition, archery items, ATV accessories, blinds</w:t>
            </w:r>
          </w:p>
        </w:tc>
        <w:tc>
          <w:tcPr>
            <w:tcW w:w="1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Shooting</w:t>
            </w:r>
          </w:p>
        </w:tc>
        <w:tc>
          <w:tcPr>
            <w:tcW w:w="120" w:type="dxa"/>
            <w:vAlign w:val="bottom"/>
            <w:shd w:val="clear" w:color="auto" w:fill="CFF0FC"/>
          </w:tcPr>
          <w:p>
            <w:pPr>
              <w:spacing w:after="0"/>
              <w:rPr>
                <w:sz w:val="18"/>
                <w:szCs w:val="18"/>
                <w:color w:val="auto"/>
              </w:rPr>
            </w:pPr>
          </w:p>
        </w:tc>
        <w:tc>
          <w:tcPr>
            <w:tcW w:w="40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and tree stands, decoys, firearms, reloading</w:t>
            </w:r>
          </w:p>
        </w:tc>
        <w:tc>
          <w:tcPr>
            <w:tcW w:w="1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5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40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equipment and shooting gear</w:t>
            </w:r>
          </w:p>
        </w:tc>
        <w:tc>
          <w:tcPr>
            <w:tcW w:w="1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59.7%</w:t>
            </w:r>
          </w:p>
        </w:tc>
        <w:tc>
          <w:tcPr>
            <w:tcW w:w="100" w:type="dxa"/>
            <w:vAlign w:val="bottom"/>
            <w:shd w:val="clear" w:color="auto" w:fill="CFF0FC"/>
          </w:tcPr>
          <w:p>
            <w:pPr>
              <w:spacing w:after="0"/>
              <w:rPr>
                <w:sz w:val="20"/>
                <w:szCs w:val="20"/>
                <w:color w:val="auto"/>
              </w:rPr>
            </w:pPr>
          </w:p>
        </w:tc>
        <w:tc>
          <w:tcPr>
            <w:tcW w:w="1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57.9%</w:t>
            </w:r>
          </w:p>
        </w:tc>
        <w:tc>
          <w:tcPr>
            <w:tcW w:w="12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57.2%</w:t>
            </w:r>
          </w:p>
        </w:tc>
        <w:tc>
          <w:tcPr>
            <w:tcW w:w="120" w:type="dxa"/>
            <w:vAlign w:val="bottom"/>
            <w:shd w:val="clear" w:color="auto" w:fill="CFF0FC"/>
          </w:tcPr>
          <w:p>
            <w:pPr>
              <w:spacing w:after="0"/>
              <w:rPr>
                <w:sz w:val="20"/>
                <w:szCs w:val="20"/>
                <w:color w:val="auto"/>
              </w:rPr>
            </w:pPr>
          </w:p>
        </w:tc>
        <w:tc>
          <w:tcPr>
            <w:tcW w:w="1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56.2%</w:t>
            </w:r>
          </w:p>
        </w:tc>
        <w:tc>
          <w:tcPr>
            <w:tcW w:w="0" w:type="dxa"/>
            <w:vAlign w:val="bottom"/>
          </w:tcPr>
          <w:p>
            <w:pPr>
              <w:spacing w:after="0"/>
              <w:rPr>
                <w:sz w:val="1"/>
                <w:szCs w:val="1"/>
                <w:color w:val="auto"/>
              </w:rPr>
            </w:pPr>
          </w:p>
        </w:tc>
      </w:tr>
      <w:tr>
        <w:trPr>
          <w:trHeight w:val="198"/>
        </w:trPr>
        <w:tc>
          <w:tcPr>
            <w:tcW w:w="15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Optics, Electronics,</w:t>
            </w:r>
          </w:p>
        </w:tc>
        <w:tc>
          <w:tcPr>
            <w:tcW w:w="120" w:type="dxa"/>
            <w:vAlign w:val="bottom"/>
          </w:tcPr>
          <w:p>
            <w:pPr>
              <w:spacing w:after="0"/>
              <w:rPr>
                <w:sz w:val="17"/>
                <w:szCs w:val="17"/>
                <w:color w:val="auto"/>
              </w:rPr>
            </w:pPr>
          </w:p>
        </w:tc>
        <w:tc>
          <w:tcPr>
            <w:tcW w:w="40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Gift items, GPS devices, knives, lighting, optics,</w:t>
            </w: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580" w:type="dxa"/>
            <w:vAlign w:val="bottom"/>
          </w:tcPr>
          <w:p>
            <w:pPr>
              <w:spacing w:after="0"/>
              <w:rPr>
                <w:sz w:val="20"/>
                <w:szCs w:val="20"/>
                <w:color w:val="auto"/>
              </w:rPr>
            </w:pPr>
            <w:r>
              <w:rPr>
                <w:rFonts w:ascii="Times New Roman" w:cs="Times New Roman" w:eastAsia="Times New Roman" w:hAnsi="Times New Roman"/>
                <w:sz w:val="18"/>
                <w:szCs w:val="18"/>
                <w:color w:val="auto"/>
              </w:rPr>
              <w:t>Accessories and</w:t>
            </w:r>
          </w:p>
        </w:tc>
        <w:tc>
          <w:tcPr>
            <w:tcW w:w="120" w:type="dxa"/>
            <w:vAlign w:val="bottom"/>
          </w:tcPr>
          <w:p>
            <w:pPr>
              <w:spacing w:after="0"/>
              <w:rPr>
                <w:sz w:val="18"/>
                <w:szCs w:val="18"/>
                <w:color w:val="auto"/>
              </w:rPr>
            </w:pPr>
          </w:p>
        </w:tc>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two-way radios, and other license revenue, net of</w:t>
            </w:r>
          </w:p>
        </w:tc>
        <w:tc>
          <w:tcPr>
            <w:tcW w:w="130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Pr>
          <w:p>
            <w:pPr>
              <w:spacing w:after="0"/>
              <w:rPr>
                <w:sz w:val="18"/>
                <w:szCs w:val="18"/>
                <w:color w:val="auto"/>
              </w:rPr>
            </w:pPr>
          </w:p>
        </w:tc>
        <w:tc>
          <w:tcPr>
            <w:tcW w:w="130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7.9%</w:t>
            </w:r>
          </w:p>
        </w:tc>
        <w:tc>
          <w:tcPr>
            <w:tcW w:w="120" w:type="dxa"/>
            <w:vAlign w:val="bottom"/>
          </w:tcPr>
          <w:p>
            <w:pPr>
              <w:spacing w:after="0"/>
              <w:rPr>
                <w:sz w:val="18"/>
                <w:szCs w:val="18"/>
                <w:color w:val="auto"/>
              </w:rPr>
            </w:pPr>
          </w:p>
        </w:tc>
        <w:tc>
          <w:tcPr>
            <w:tcW w:w="12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5.9%</w:t>
            </w:r>
          </w:p>
        </w:tc>
        <w:tc>
          <w:tcPr>
            <w:tcW w:w="120" w:type="dxa"/>
            <w:vAlign w:val="bottom"/>
          </w:tcPr>
          <w:p>
            <w:pPr>
              <w:spacing w:after="0"/>
              <w:rPr>
                <w:sz w:val="18"/>
                <w:szCs w:val="18"/>
                <w:color w:val="auto"/>
              </w:rPr>
            </w:pPr>
          </w:p>
        </w:tc>
        <w:tc>
          <w:tcPr>
            <w:tcW w:w="13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21"/>
        </w:trPr>
        <w:tc>
          <w:tcPr>
            <w:tcW w:w="158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Pr>
          <w:p>
            <w:pPr>
              <w:spacing w:after="0"/>
              <w:rPr>
                <w:sz w:val="19"/>
                <w:szCs w:val="19"/>
                <w:color w:val="auto"/>
              </w:rPr>
            </w:pPr>
          </w:p>
        </w:tc>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revenue discounts</w:t>
            </w:r>
          </w:p>
        </w:tc>
        <w:tc>
          <w:tcPr>
            <w:tcW w:w="130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1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shd w:val="clear" w:color="auto" w:fill="CFF0FC"/>
          </w:tcPr>
          <w:p>
            <w:pPr>
              <w:spacing w:after="0"/>
              <w:rPr>
                <w:sz w:val="19"/>
                <w:szCs w:val="19"/>
                <w:color w:val="auto"/>
              </w:rPr>
            </w:pPr>
          </w:p>
        </w:tc>
        <w:tc>
          <w:tcPr>
            <w:tcW w:w="3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0"/>
        </w:trPr>
        <w:tc>
          <w:tcPr>
            <w:tcW w:w="15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39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4333875</wp:posOffset>
            </wp:positionH>
            <wp:positionV relativeFrom="paragraph">
              <wp:posOffset>-24765</wp:posOffset>
            </wp:positionV>
            <wp:extent cx="11112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-8255</wp:posOffset>
            </wp:positionV>
            <wp:extent cx="111125"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-24765</wp:posOffset>
            </wp:positionV>
            <wp:extent cx="11112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-8255</wp:posOffset>
            </wp:positionV>
            <wp:extent cx="111125"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-24765</wp:posOffset>
            </wp:positionV>
            <wp:extent cx="11112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-8255</wp:posOffset>
            </wp:positionV>
            <wp:extent cx="111125"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-24765</wp:posOffset>
            </wp:positionV>
            <wp:extent cx="11176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-8255</wp:posOffset>
            </wp:positionV>
            <wp:extent cx="11176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Property and Equipment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and equipment consisted of the following as of November 1, 2025 and February 1, 2025:</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00" w:type="dxa"/>
            <w:vAlign w:val="bottom"/>
          </w:tcPr>
          <w:p>
            <w:pPr>
              <w:spacing w:after="0"/>
              <w:rPr>
                <w:sz w:val="13"/>
                <w:szCs w:val="13"/>
                <w:color w:val="auto"/>
              </w:rPr>
            </w:pPr>
          </w:p>
        </w:tc>
        <w:tc>
          <w:tcPr>
            <w:tcW w:w="3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2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November 1,</w:t>
            </w: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February 1,</w:t>
            </w:r>
          </w:p>
        </w:tc>
        <w:tc>
          <w:tcPr>
            <w:tcW w:w="0" w:type="dxa"/>
            <w:vAlign w:val="bottom"/>
          </w:tcPr>
          <w:p>
            <w:pPr>
              <w:spacing w:after="0"/>
              <w:rPr>
                <w:sz w:val="1"/>
                <w:szCs w:val="1"/>
                <w:color w:val="auto"/>
              </w:rPr>
            </w:pPr>
          </w:p>
        </w:tc>
      </w:tr>
      <w:tr>
        <w:trPr>
          <w:trHeight w:val="173"/>
        </w:trPr>
        <w:tc>
          <w:tcPr>
            <w:tcW w:w="4500" w:type="dxa"/>
            <w:vAlign w:val="bottom"/>
          </w:tcPr>
          <w:p>
            <w:pPr>
              <w:spacing w:after="0"/>
              <w:rPr>
                <w:sz w:val="15"/>
                <w:szCs w:val="15"/>
                <w:color w:val="auto"/>
              </w:rPr>
            </w:pPr>
          </w:p>
        </w:tc>
        <w:tc>
          <w:tcPr>
            <w:tcW w:w="32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Furniture, fixtures, and equipment</w:t>
            </w:r>
          </w:p>
        </w:tc>
        <w:tc>
          <w:tcPr>
            <w:tcW w:w="348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186,166</w:t>
            </w:r>
          </w:p>
        </w:tc>
        <w:tc>
          <w:tcPr>
            <w:tcW w:w="4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175,178</w:t>
            </w: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3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235,760</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232,168</w:t>
            </w:r>
          </w:p>
        </w:tc>
        <w:tc>
          <w:tcPr>
            <w:tcW w:w="0" w:type="dxa"/>
            <w:vAlign w:val="bottom"/>
          </w:tcPr>
          <w:p>
            <w:pPr>
              <w:spacing w:after="0"/>
              <w:rPr>
                <w:sz w:val="1"/>
                <w:szCs w:val="1"/>
                <w:color w:val="auto"/>
              </w:rPr>
            </w:pPr>
          </w:p>
        </w:tc>
      </w:tr>
      <w:tr>
        <w:trPr>
          <w:trHeight w:val="216"/>
        </w:trPr>
        <w:tc>
          <w:tcPr>
            <w:tcW w:w="45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32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7,356</w:t>
            </w:r>
          </w:p>
        </w:tc>
        <w:tc>
          <w:tcPr>
            <w:tcW w:w="1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1,126</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Total property and equipment, gross</w:t>
            </w:r>
          </w:p>
        </w:tc>
        <w:tc>
          <w:tcPr>
            <w:tcW w:w="3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429,282</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408,472</w:t>
            </w:r>
          </w:p>
        </w:tc>
        <w:tc>
          <w:tcPr>
            <w:tcW w:w="0" w:type="dxa"/>
            <w:vAlign w:val="bottom"/>
          </w:tcPr>
          <w:p>
            <w:pPr>
              <w:spacing w:after="0"/>
              <w:rPr>
                <w:sz w:val="1"/>
                <w:szCs w:val="1"/>
                <w:color w:val="auto"/>
              </w:rPr>
            </w:pPr>
          </w:p>
        </w:tc>
      </w:tr>
      <w:tr>
        <w:trPr>
          <w:trHeight w:val="216"/>
        </w:trPr>
        <w:tc>
          <w:tcPr>
            <w:tcW w:w="4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3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(269,949)</w:t>
            </w:r>
          </w:p>
        </w:tc>
        <w:tc>
          <w:tcPr>
            <w:tcW w:w="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(240,634)</w:t>
            </w:r>
          </w:p>
        </w:tc>
        <w:tc>
          <w:tcPr>
            <w:tcW w:w="0" w:type="dxa"/>
            <w:vAlign w:val="bottom"/>
          </w:tcPr>
          <w:p>
            <w:pPr>
              <w:spacing w:after="0"/>
              <w:rPr>
                <w:sz w:val="1"/>
                <w:szCs w:val="1"/>
                <w:color w:val="auto"/>
              </w:rPr>
            </w:pPr>
          </w:p>
        </w:tc>
      </w:tr>
      <w:tr>
        <w:trPr>
          <w:trHeight w:val="20"/>
        </w:trPr>
        <w:tc>
          <w:tcPr>
            <w:tcW w:w="4500" w:type="dxa"/>
            <w:vAlign w:val="bottom"/>
            <w:shd w:val="clear" w:color="auto" w:fill="CFF0FC"/>
          </w:tcPr>
          <w:p>
            <w:pPr>
              <w:spacing w:after="0" w:line="20" w:lineRule="exact"/>
              <w:rPr>
                <w:sz w:val="1"/>
                <w:szCs w:val="1"/>
                <w:color w:val="auto"/>
              </w:rPr>
            </w:pPr>
          </w:p>
        </w:tc>
        <w:tc>
          <w:tcPr>
            <w:tcW w:w="32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324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159,333</w:t>
            </w:r>
          </w:p>
        </w:tc>
        <w:tc>
          <w:tcPr>
            <w:tcW w:w="100" w:type="dxa"/>
            <w:vAlign w:val="bottom"/>
          </w:tcPr>
          <w:p>
            <w:pPr>
              <w:spacing w:after="0"/>
              <w:rPr>
                <w:sz w:val="18"/>
                <w:szCs w:val="18"/>
                <w:color w:val="auto"/>
              </w:rPr>
            </w:pPr>
          </w:p>
        </w:tc>
        <w:tc>
          <w:tcPr>
            <w:tcW w:w="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167,838</w:t>
            </w: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3240" w:type="dxa"/>
            <w:vAlign w:val="bottom"/>
            <w:vMerge w:val="restart"/>
          </w:tcPr>
          <w:p>
            <w:pPr>
              <w:jc w:val="right"/>
              <w:ind w:right="1930"/>
              <w:spacing w:after="0"/>
              <w:rPr>
                <w:sz w:val="20"/>
                <w:szCs w:val="20"/>
                <w:color w:val="auto"/>
              </w:rPr>
            </w:pPr>
            <w:r>
              <w:rPr>
                <w:rFonts w:ascii="Times New Roman" w:cs="Times New Roman" w:eastAsia="Times New Roman" w:hAnsi="Times New Roman"/>
                <w:sz w:val="18"/>
                <w:szCs w:val="18"/>
                <w:color w:val="auto"/>
              </w:rPr>
              <w:t>12</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4500" w:type="dxa"/>
            <w:vAlign w:val="bottom"/>
          </w:tcPr>
          <w:p>
            <w:pPr>
              <w:spacing w:after="0"/>
              <w:rPr>
                <w:sz w:val="24"/>
                <w:szCs w:val="24"/>
                <w:color w:val="auto"/>
              </w:rPr>
            </w:pPr>
          </w:p>
        </w:tc>
        <w:tc>
          <w:tcPr>
            <w:tcW w:w="324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500" w:type="dxa"/>
            <w:vAlign w:val="bottom"/>
            <w:tcBorders>
              <w:bottom w:val="single" w:sz="8" w:color="9A9A9A"/>
            </w:tcBorders>
          </w:tcPr>
          <w:p>
            <w:pPr>
              <w:spacing w:after="0"/>
              <w:rPr>
                <w:sz w:val="24"/>
                <w:szCs w:val="24"/>
                <w:color w:val="auto"/>
              </w:rPr>
            </w:pPr>
          </w:p>
        </w:tc>
        <w:tc>
          <w:tcPr>
            <w:tcW w:w="32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-1499870</wp:posOffset>
            </wp:positionV>
            <wp:extent cx="6858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-1499870</wp:posOffset>
            </wp:positionV>
            <wp:extent cx="6858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-1216660</wp:posOffset>
            </wp:positionV>
            <wp:extent cx="6858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-1216660</wp:posOffset>
            </wp:positionV>
            <wp:extent cx="6858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Accrued Expenses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expenses consisted of the following as of November 1, 2025 and February 1, 2025:</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20" w:type="dxa"/>
            <w:vAlign w:val="bottom"/>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November 1,</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February 1,</w:t>
            </w:r>
          </w:p>
        </w:tc>
      </w:tr>
      <w:tr>
        <w:trPr>
          <w:trHeight w:val="173"/>
        </w:trPr>
        <w:tc>
          <w:tcPr>
            <w:tcW w:w="77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r>
      <w:tr>
        <w:trPr>
          <w:trHeight w:val="210"/>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Book overdraft</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28,004</w:t>
            </w:r>
          </w:p>
        </w:tc>
        <w:tc>
          <w:tcPr>
            <w:tcW w:w="52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21,929</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Unearned revenue</w:t>
            </w: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31,787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36,600</w:t>
            </w:r>
          </w:p>
        </w:tc>
        <w:tc>
          <w:tcPr>
            <w:tcW w:w="100" w:type="dxa"/>
            <w:vAlign w:val="bottom"/>
          </w:tcPr>
          <w:p>
            <w:pPr>
              <w:spacing w:after="0"/>
              <w:rPr>
                <w:sz w:val="18"/>
                <w:szCs w:val="18"/>
                <w:color w:val="auto"/>
              </w:rPr>
            </w:pPr>
          </w:p>
        </w:tc>
      </w:tr>
      <w:tr>
        <w:trPr>
          <w:trHeight w:val="21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payroll and related expenses</w:t>
            </w: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17,227</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11,397</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Sales and use tax payable</w:t>
            </w: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5,624</w:t>
            </w:r>
          </w:p>
        </w:tc>
        <w:tc>
          <w:tcPr>
            <w:tcW w:w="100" w:type="dxa"/>
            <w:vAlign w:val="bottom"/>
          </w:tcPr>
          <w:p>
            <w:pPr>
              <w:spacing w:after="0"/>
              <w:rPr>
                <w:sz w:val="18"/>
                <w:szCs w:val="18"/>
                <w:color w:val="auto"/>
              </w:rPr>
            </w:pPr>
          </w:p>
        </w:tc>
      </w:tr>
      <w:tr>
        <w:trPr>
          <w:trHeight w:val="216"/>
        </w:trPr>
        <w:tc>
          <w:tcPr>
            <w:tcW w:w="77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31,033</w:t>
            </w:r>
          </w:p>
        </w:tc>
        <w:tc>
          <w:tcPr>
            <w:tcW w:w="1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20,396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Total accrued expenses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115,788</w:t>
            </w:r>
          </w:p>
        </w:tc>
        <w:tc>
          <w:tcPr>
            <w:tcW w:w="5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95,946</w:t>
            </w:r>
          </w:p>
        </w:tc>
        <w:tc>
          <w:tcPr>
            <w:tcW w:w="100" w:type="dxa"/>
            <w:vAlign w:val="bottom"/>
          </w:tcPr>
          <w:p>
            <w:pPr>
              <w:spacing w:after="0"/>
              <w:rPr>
                <w:sz w:val="18"/>
                <w:szCs w:val="18"/>
                <w:color w:val="auto"/>
              </w:rPr>
            </w:pPr>
          </w:p>
        </w:tc>
      </w:tr>
      <w:tr>
        <w:trPr>
          <w:trHeight w:val="20"/>
        </w:trPr>
        <w:tc>
          <w:tcPr>
            <w:tcW w:w="77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-170815</wp:posOffset>
            </wp:positionV>
            <wp:extent cx="6858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Leases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operating leases typically have terms of up to 15 years, with multiple options for the Company to extend the lease.</w:t>
      </w:r>
    </w:p>
    <w:p>
      <w:pPr>
        <w:spacing w:after="0" w:line="225"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The Company determines whether a contract is or contains a lease at contract inception. As the rate implicit in the lease is not readily determinable in most of the Company’s leases, the Company uses its incremental borrowing rate based on the information available at commencement date to determine the present value of lease payments. The Company’s incremental borrowing rate for a lease is the rate of interest it would have to pay on a collateralized basis to borrow an amount equal to the lease payments under similar terms. The operating lease asset also includes any fixed lease payments made and includes lease incentives and incurred initial direct costs. Operating lease expense for fixed lease payments is recognized on a straight-line basis over the lease term. The Company’s lease terms may include options to extend or terminate the lease. Additionally, the Company’s leases do not contain any material residual guarantees or material restrictive covenants.</w:t>
      </w:r>
    </w:p>
    <w:p>
      <w:pPr>
        <w:spacing w:after="0" w:line="8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During the period ended August 2, 2025, the Company changed the presentation of certain lease-related items within the Operating Activities section of the Statement of Cash Flows. Previously, changes in noncash lease expense and changes in operating lease liabilities were presented as separate line items. Beginning with the quarter ended August 2, 2025, these amounts are combined and presented as a single line item titled “Operating lease assets and liabilities.”</w:t>
      </w:r>
    </w:p>
    <w:p>
      <w:pPr>
        <w:spacing w:after="0" w:line="72"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change was made to streamline the presentation and provide a more concise view of lease-related operating cash flow activity. Prior period amounts have been reclassified to conform to the current period presentation. This change had no impact on total net cash provided by operating activities.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13 and 39 weeks ended November 1, 2025, the Company recorded non-cash increases of $90 and $4,051, respectively, to the right of use assets and operating lease liabilities resulting from lease remeasurements from the exercise of lease extension options, acquired leases, new leases added and lease amendments.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accordance with ASC 842, total lease expense was comprised of the following for the periods presented:</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3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40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780" w:type="dxa"/>
            <w:vAlign w:val="bottom"/>
            <w:gridSpan w:val="6"/>
          </w:tcPr>
          <w:p>
            <w:pPr>
              <w:ind w:left="860"/>
              <w:spacing w:after="0"/>
              <w:rPr>
                <w:sz w:val="20"/>
                <w:szCs w:val="20"/>
                <w:color w:val="auto"/>
              </w:rPr>
            </w:pPr>
            <w:r>
              <w:rPr>
                <w:rFonts w:ascii="Times New Roman" w:cs="Times New Roman" w:eastAsia="Times New Roman" w:hAnsi="Times New Roman"/>
                <w:sz w:val="14"/>
                <w:szCs w:val="14"/>
                <w:b w:val="1"/>
                <w:bCs w:val="1"/>
                <w:color w:val="auto"/>
              </w:rPr>
              <w:t>Thirty-Nine Weeks Ended</w:t>
            </w:r>
          </w:p>
        </w:tc>
      </w:tr>
      <w:tr>
        <w:trPr>
          <w:trHeight w:val="117"/>
        </w:trPr>
        <w:tc>
          <w:tcPr>
            <w:tcW w:w="23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320" w:type="dxa"/>
            <w:vAlign w:val="bottom"/>
            <w:tcBorders>
              <w:top w:val="single" w:sz="8" w:color="auto"/>
            </w:tcBorders>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November 1,</w:t>
            </w:r>
          </w:p>
        </w:tc>
        <w:tc>
          <w:tcPr>
            <w:tcW w:w="54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1340" w:type="dxa"/>
            <w:vAlign w:val="bottom"/>
            <w:tcBorders>
              <w:top w:val="single" w:sz="8" w:color="auto"/>
            </w:tcBorders>
          </w:tcPr>
          <w:p>
            <w:pPr>
              <w:jc w:val="right"/>
              <w:ind w:right="456"/>
              <w:spacing w:after="0" w:line="118" w:lineRule="exact"/>
              <w:rPr>
                <w:sz w:val="20"/>
                <w:szCs w:val="20"/>
                <w:color w:val="auto"/>
              </w:rPr>
            </w:pPr>
            <w:r>
              <w:rPr>
                <w:rFonts w:ascii="Times New Roman" w:cs="Times New Roman" w:eastAsia="Times New Roman" w:hAnsi="Times New Roman"/>
                <w:sz w:val="13"/>
                <w:szCs w:val="13"/>
                <w:b w:val="1"/>
                <w:bCs w:val="1"/>
                <w:color w:val="auto"/>
              </w:rPr>
              <w:t>November 2,</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1520" w:type="dxa"/>
            <w:vAlign w:val="bottom"/>
            <w:tcBorders>
              <w:top w:val="single" w:sz="8" w:color="auto"/>
            </w:tcBorders>
          </w:tcPr>
          <w:p>
            <w:pPr>
              <w:jc w:val="right"/>
              <w:ind w:right="438"/>
              <w:spacing w:after="0" w:line="118" w:lineRule="exact"/>
              <w:rPr>
                <w:sz w:val="20"/>
                <w:szCs w:val="20"/>
                <w:color w:val="auto"/>
              </w:rPr>
            </w:pPr>
            <w:r>
              <w:rPr>
                <w:rFonts w:ascii="Times New Roman" w:cs="Times New Roman" w:eastAsia="Times New Roman" w:hAnsi="Times New Roman"/>
                <w:sz w:val="13"/>
                <w:szCs w:val="13"/>
                <w:b w:val="1"/>
                <w:bCs w:val="1"/>
                <w:color w:val="auto"/>
              </w:rPr>
              <w:t>November 1,</w:t>
            </w:r>
          </w:p>
        </w:tc>
        <w:tc>
          <w:tcPr>
            <w:tcW w:w="12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1540" w:type="dxa"/>
            <w:vAlign w:val="bottom"/>
            <w:tcBorders>
              <w:top w:val="single" w:sz="8" w:color="auto"/>
            </w:tcBorders>
          </w:tcPr>
          <w:p>
            <w:pPr>
              <w:jc w:val="right"/>
              <w:ind w:right="457"/>
              <w:spacing w:after="0" w:line="118" w:lineRule="exact"/>
              <w:rPr>
                <w:sz w:val="20"/>
                <w:szCs w:val="20"/>
                <w:color w:val="auto"/>
              </w:rPr>
            </w:pPr>
            <w:r>
              <w:rPr>
                <w:rFonts w:ascii="Times New Roman" w:cs="Times New Roman" w:eastAsia="Times New Roman" w:hAnsi="Times New Roman"/>
                <w:sz w:val="13"/>
                <w:szCs w:val="13"/>
                <w:b w:val="1"/>
                <w:bCs w:val="1"/>
                <w:color w:val="auto"/>
              </w:rPr>
              <w:t>November 2,</w:t>
            </w:r>
          </w:p>
        </w:tc>
        <w:tc>
          <w:tcPr>
            <w:tcW w:w="100" w:type="dxa"/>
            <w:vAlign w:val="bottom"/>
          </w:tcPr>
          <w:p>
            <w:pPr>
              <w:spacing w:after="0"/>
              <w:rPr>
                <w:sz w:val="10"/>
                <w:szCs w:val="10"/>
                <w:color w:val="auto"/>
              </w:rPr>
            </w:pPr>
          </w:p>
        </w:tc>
      </w:tr>
      <w:tr>
        <w:trPr>
          <w:trHeight w:val="173"/>
        </w:trPr>
        <w:tc>
          <w:tcPr>
            <w:tcW w:w="2300" w:type="dxa"/>
            <w:vAlign w:val="bottom"/>
          </w:tcPr>
          <w:p>
            <w:pPr>
              <w:spacing w:after="0"/>
              <w:rPr>
                <w:sz w:val="15"/>
                <w:szCs w:val="15"/>
                <w:color w:val="auto"/>
              </w:rPr>
            </w:pPr>
          </w:p>
        </w:tc>
        <w:tc>
          <w:tcPr>
            <w:tcW w:w="1800" w:type="dxa"/>
            <w:vAlign w:val="bottom"/>
            <w:gridSpan w:val="2"/>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2025</w:t>
            </w: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340" w:type="dxa"/>
            <w:vAlign w:val="bottom"/>
          </w:tcPr>
          <w:p>
            <w:pPr>
              <w:jc w:val="right"/>
              <w:ind w:right="7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520" w:type="dxa"/>
            <w:vAlign w:val="bottom"/>
          </w:tcPr>
          <w:p>
            <w:pPr>
              <w:jc w:val="right"/>
              <w:ind w:right="69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40" w:type="dxa"/>
            <w:vAlign w:val="bottom"/>
          </w:tcPr>
          <w:p>
            <w:pPr>
              <w:jc w:val="right"/>
              <w:ind w:right="69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r>
      <w:tr>
        <w:trPr>
          <w:trHeight w:val="216"/>
        </w:trPr>
        <w:tc>
          <w:tcPr>
            <w:tcW w:w="2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expense</w:t>
            </w:r>
          </w:p>
        </w:tc>
        <w:tc>
          <w:tcPr>
            <w:tcW w:w="1800" w:type="dxa"/>
            <w:vAlign w:val="bottom"/>
            <w:gridSpan w:val="2"/>
            <w:shd w:val="clear" w:color="auto" w:fill="CFF0FC"/>
          </w:tcPr>
          <w:p>
            <w:pPr>
              <w:jc w:val="right"/>
              <w:ind w:right="1173"/>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17,452</w:t>
            </w:r>
          </w:p>
        </w:tc>
        <w:tc>
          <w:tcPr>
            <w:tcW w:w="860" w:type="dxa"/>
            <w:vAlign w:val="bottom"/>
            <w:gridSpan w:val="3"/>
            <w:shd w:val="clear" w:color="auto" w:fill="CFF0FC"/>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17,226</w:t>
            </w:r>
          </w:p>
        </w:tc>
        <w:tc>
          <w:tcPr>
            <w:tcW w:w="62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52,114</w:t>
            </w:r>
          </w:p>
        </w:tc>
        <w:tc>
          <w:tcPr>
            <w:tcW w:w="62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51,385</w:t>
            </w:r>
          </w:p>
        </w:tc>
        <w:tc>
          <w:tcPr>
            <w:tcW w:w="100" w:type="dxa"/>
            <w:vAlign w:val="bottom"/>
            <w:shd w:val="clear" w:color="auto" w:fill="CFF0FC"/>
          </w:tcPr>
          <w:p>
            <w:pPr>
              <w:spacing w:after="0"/>
              <w:rPr>
                <w:sz w:val="18"/>
                <w:szCs w:val="18"/>
                <w:color w:val="auto"/>
              </w:rPr>
            </w:pPr>
          </w:p>
        </w:tc>
      </w:tr>
      <w:tr>
        <w:trPr>
          <w:trHeight w:val="216"/>
        </w:trPr>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Variable lease expense</w:t>
            </w:r>
          </w:p>
        </w:tc>
        <w:tc>
          <w:tcPr>
            <w:tcW w:w="4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18,600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18,283</w:t>
            </w:r>
          </w:p>
        </w:tc>
        <w:tc>
          <w:tcPr>
            <w:tcW w:w="100" w:type="dxa"/>
            <w:vAlign w:val="bottom"/>
          </w:tcPr>
          <w:p>
            <w:pPr>
              <w:spacing w:after="0"/>
              <w:rPr>
                <w:sz w:val="18"/>
                <w:szCs w:val="18"/>
                <w:color w:val="auto"/>
              </w:rPr>
            </w:pPr>
          </w:p>
        </w:tc>
      </w:tr>
      <w:tr>
        <w:trPr>
          <w:trHeight w:val="216"/>
        </w:trPr>
        <w:tc>
          <w:tcPr>
            <w:tcW w:w="23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Short-term lease expense</w:t>
            </w:r>
          </w:p>
        </w:tc>
        <w:tc>
          <w:tcPr>
            <w:tcW w:w="480" w:type="dxa"/>
            <w:vAlign w:val="bottom"/>
            <w:tcBorders>
              <w:bottom w:val="single" w:sz="8" w:color="CFF0FC"/>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1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23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Total lease expense</w:t>
            </w:r>
          </w:p>
        </w:tc>
        <w:tc>
          <w:tcPr>
            <w:tcW w:w="1800" w:type="dxa"/>
            <w:vAlign w:val="bottom"/>
            <w:gridSpan w:val="2"/>
          </w:tcPr>
          <w:p>
            <w:pPr>
              <w:jc w:val="right"/>
              <w:ind w:right="1173"/>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23,530</w:t>
            </w:r>
          </w:p>
        </w:tc>
        <w:tc>
          <w:tcPr>
            <w:tcW w:w="86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23,245</w:t>
            </w:r>
          </w:p>
        </w:tc>
        <w:tc>
          <w:tcPr>
            <w:tcW w:w="6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70,990</w:t>
            </w:r>
          </w:p>
        </w:tc>
        <w:tc>
          <w:tcPr>
            <w:tcW w:w="6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69,995</w:t>
            </w:r>
          </w:p>
        </w:tc>
        <w:tc>
          <w:tcPr>
            <w:tcW w:w="100" w:type="dxa"/>
            <w:vAlign w:val="bottom"/>
          </w:tcPr>
          <w:p>
            <w:pPr>
              <w:spacing w:after="0"/>
              <w:rPr>
                <w:sz w:val="18"/>
                <w:szCs w:val="18"/>
                <w:color w:val="auto"/>
              </w:rPr>
            </w:pPr>
          </w:p>
        </w:tc>
      </w:tr>
      <w:tr>
        <w:trPr>
          <w:trHeight w:val="20"/>
        </w:trPr>
        <w:tc>
          <w:tcPr>
            <w:tcW w:w="2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845"/>
        </w:trPr>
        <w:tc>
          <w:tcPr>
            <w:tcW w:w="2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340" w:type="dxa"/>
            <w:vAlign w:val="bottom"/>
          </w:tcPr>
          <w:p>
            <w:pPr>
              <w:jc w:val="right"/>
              <w:ind w:right="1036"/>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63"/>
        </w:trPr>
        <w:tc>
          <w:tcPr>
            <w:tcW w:w="230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2945130</wp:posOffset>
            </wp:positionH>
            <wp:positionV relativeFrom="paragraph">
              <wp:posOffset>-1216660</wp:posOffset>
            </wp:positionV>
            <wp:extent cx="76835"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-1216660</wp:posOffset>
            </wp:positionV>
            <wp:extent cx="6858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-1216660</wp:posOffset>
            </wp:positionV>
            <wp:extent cx="6858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-1216660</wp:posOffset>
            </wp:positionV>
            <wp:extent cx="6858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accordance with ASC 842, other information related to leases was as follows for the periods presented:</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200" w:type="dxa"/>
            <w:vAlign w:val="bottom"/>
            <w:gridSpan w:val="11"/>
          </w:tcPr>
          <w:p>
            <w:pPr>
              <w:jc w:val="right"/>
              <w:ind w:right="1000"/>
              <w:spacing w:after="0"/>
              <w:rPr>
                <w:sz w:val="20"/>
                <w:szCs w:val="20"/>
                <w:color w:val="auto"/>
              </w:rPr>
            </w:pPr>
            <w:r>
              <w:rPr>
                <w:rFonts w:ascii="Times New Roman" w:cs="Times New Roman" w:eastAsia="Times New Roman" w:hAnsi="Times New Roman"/>
                <w:sz w:val="14"/>
                <w:szCs w:val="14"/>
                <w:b w:val="1"/>
                <w:bCs w:val="1"/>
                <w:color w:val="auto"/>
              </w:rPr>
              <w:t>Thirty-Nine Weeks Ended</w:t>
            </w:r>
          </w:p>
        </w:tc>
        <w:tc>
          <w:tcPr>
            <w:tcW w:w="0" w:type="dxa"/>
            <w:vAlign w:val="bottom"/>
          </w:tcPr>
          <w:p>
            <w:pPr>
              <w:spacing w:after="0"/>
              <w:rPr>
                <w:sz w:val="1"/>
                <w:szCs w:val="1"/>
                <w:color w:val="auto"/>
              </w:rPr>
            </w:pPr>
          </w:p>
        </w:tc>
      </w:tr>
      <w:tr>
        <w:trPr>
          <w:trHeight w:val="117"/>
        </w:trPr>
        <w:tc>
          <w:tcPr>
            <w:tcW w:w="7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1480" w:type="dxa"/>
            <w:vAlign w:val="bottom"/>
            <w:tcBorders>
              <w:top w:val="single" w:sz="8" w:color="auto"/>
            </w:tcBorders>
            <w:gridSpan w:val="5"/>
          </w:tcPr>
          <w:p>
            <w:pPr>
              <w:jc w:val="center"/>
              <w:ind w:right="520"/>
              <w:spacing w:after="0" w:line="118" w:lineRule="exact"/>
              <w:rPr>
                <w:sz w:val="20"/>
                <w:szCs w:val="20"/>
                <w:color w:val="auto"/>
              </w:rPr>
            </w:pPr>
            <w:r>
              <w:rPr>
                <w:rFonts w:ascii="Times New Roman" w:cs="Times New Roman" w:eastAsia="Times New Roman" w:hAnsi="Times New Roman"/>
                <w:sz w:val="13"/>
                <w:szCs w:val="13"/>
                <w:b w:val="1"/>
                <w:bCs w:val="1"/>
                <w:color w:val="auto"/>
              </w:rPr>
              <w:t>November 1,</w:t>
            </w:r>
          </w:p>
        </w:tc>
        <w:tc>
          <w:tcPr>
            <w:tcW w:w="6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440" w:type="dxa"/>
            <w:vAlign w:val="bottom"/>
            <w:tcBorders>
              <w:top w:val="single" w:sz="8" w:color="auto"/>
            </w:tcBorders>
            <w:gridSpan w:val="3"/>
          </w:tcPr>
          <w:p>
            <w:pPr>
              <w:jc w:val="right"/>
              <w:ind w:right="400"/>
              <w:spacing w:after="0" w:line="118" w:lineRule="exact"/>
              <w:rPr>
                <w:sz w:val="20"/>
                <w:szCs w:val="20"/>
                <w:color w:val="auto"/>
              </w:rPr>
            </w:pPr>
            <w:r>
              <w:rPr>
                <w:rFonts w:ascii="Times New Roman" w:cs="Times New Roman" w:eastAsia="Times New Roman" w:hAnsi="Times New Roman"/>
                <w:sz w:val="13"/>
                <w:szCs w:val="13"/>
                <w:b w:val="1"/>
                <w:bCs w:val="1"/>
                <w:color w:val="auto"/>
              </w:rPr>
              <w:t>November 2,</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7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7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cash outflows from operating leases</w:t>
            </w:r>
          </w:p>
        </w:tc>
        <w:tc>
          <w:tcPr>
            <w:tcW w:w="420" w:type="dxa"/>
            <w:vAlign w:val="bottom"/>
            <w:gridSpan w:val="2"/>
            <w:shd w:val="clear" w:color="auto" w:fill="CFF0FC"/>
          </w:tcPr>
          <w:p>
            <w:pPr>
              <w:jc w:val="right"/>
              <w:ind w:right="128"/>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5"/>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55,336</w:t>
            </w:r>
          </w:p>
        </w:tc>
        <w:tc>
          <w:tcPr>
            <w:tcW w:w="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4"/>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55,885</w:t>
            </w:r>
          </w:p>
        </w:tc>
        <w:tc>
          <w:tcPr>
            <w:tcW w:w="0" w:type="dxa"/>
            <w:vAlign w:val="bottom"/>
          </w:tcPr>
          <w:p>
            <w:pPr>
              <w:spacing w:after="0"/>
              <w:rPr>
                <w:sz w:val="1"/>
                <w:szCs w:val="1"/>
                <w:color w:val="auto"/>
              </w:rPr>
            </w:pPr>
          </w:p>
        </w:tc>
      </w:tr>
      <w:tr>
        <w:trPr>
          <w:trHeight w:val="340"/>
        </w:trPr>
        <w:tc>
          <w:tcPr>
            <w:tcW w:w="7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80" w:type="dxa"/>
            <w:vAlign w:val="bottom"/>
            <w:gridSpan w:val="6"/>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As of November 1,</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40" w:type="dxa"/>
            <w:vAlign w:val="bottom"/>
            <w:gridSpan w:val="4"/>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As of November 2,</w:t>
            </w:r>
          </w:p>
        </w:tc>
        <w:tc>
          <w:tcPr>
            <w:tcW w:w="0" w:type="dxa"/>
            <w:vAlign w:val="bottom"/>
          </w:tcPr>
          <w:p>
            <w:pPr>
              <w:spacing w:after="0"/>
              <w:rPr>
                <w:sz w:val="1"/>
                <w:szCs w:val="1"/>
                <w:color w:val="auto"/>
              </w:rPr>
            </w:pPr>
          </w:p>
        </w:tc>
      </w:tr>
      <w:tr>
        <w:trPr>
          <w:trHeight w:val="173"/>
        </w:trPr>
        <w:tc>
          <w:tcPr>
            <w:tcW w:w="76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7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762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Noncash change in operating lease right-of-use asset and operating lease liabilities from</w:t>
            </w:r>
          </w:p>
        </w:tc>
        <w:tc>
          <w:tcPr>
            <w:tcW w:w="1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remeasurement of existing leases and addition of new leases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shd w:val="clear" w:color="auto" w:fill="CFF0FC"/>
          </w:tcPr>
          <w:p>
            <w:pPr>
              <w:spacing w:after="0"/>
              <w:rPr>
                <w:sz w:val="20"/>
                <w:szCs w:val="20"/>
                <w:color w:val="auto"/>
              </w:rPr>
            </w:pPr>
          </w:p>
        </w:tc>
        <w:tc>
          <w:tcPr>
            <w:tcW w:w="120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(4,051)</w:t>
            </w:r>
          </w:p>
        </w:tc>
        <w:tc>
          <w:tcPr>
            <w:tcW w:w="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14,620</w:t>
            </w:r>
          </w:p>
        </w:tc>
        <w:tc>
          <w:tcPr>
            <w:tcW w:w="6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62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remaining lease term - operating leases</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5.47</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Weighted-average discount rate - operating leases</w:t>
            </w: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480" w:type="dxa"/>
            <w:vAlign w:val="bottom"/>
            <w:gridSpan w:val="5"/>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7.33%</w:t>
            </w: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40" w:type="dxa"/>
            <w:vAlign w:val="bottom"/>
            <w:gridSpan w:val="4"/>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7.61%</w:t>
            </w:r>
          </w:p>
        </w:tc>
        <w:tc>
          <w:tcPr>
            <w:tcW w:w="0" w:type="dxa"/>
            <w:vAlign w:val="bottom"/>
          </w:tcPr>
          <w:p>
            <w:pPr>
              <w:spacing w:after="0"/>
              <w:rPr>
                <w:sz w:val="1"/>
                <w:szCs w:val="1"/>
                <w:color w:val="auto"/>
              </w:rPr>
            </w:pPr>
          </w:p>
        </w:tc>
      </w:tr>
      <w:tr>
        <w:trPr>
          <w:trHeight w:val="473"/>
        </w:trPr>
        <w:tc>
          <w:tcPr>
            <w:tcW w:w="8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 accordance with ASC 842, maturities of operating lease liabilities as of November 1, 2025 were as follows:</w:t>
            </w: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76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Fiscal Year Ending:</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40" w:type="dxa"/>
            <w:vAlign w:val="bottom"/>
            <w:gridSpan w:val="4"/>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0" w:type="dxa"/>
            <w:vAlign w:val="bottom"/>
          </w:tcPr>
          <w:p>
            <w:pPr>
              <w:spacing w:after="0"/>
              <w:rPr>
                <w:sz w:val="1"/>
                <w:szCs w:val="1"/>
                <w:color w:val="auto"/>
              </w:rPr>
            </w:pPr>
          </w:p>
        </w:tc>
      </w:tr>
      <w:tr>
        <w:trPr>
          <w:trHeight w:val="173"/>
        </w:trPr>
        <w:tc>
          <w:tcPr>
            <w:tcW w:w="762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2"/>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12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7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2025 (remainder)</w:t>
            </w: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480" w:type="dxa"/>
            <w:vAlign w:val="bottom"/>
            <w:gridSpan w:val="5"/>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4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18,927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75,435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2027</w:t>
            </w: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4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68,808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63,224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2029</w:t>
            </w: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4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54,047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153,872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Undiscounted cash flows</w:t>
            </w: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480" w:type="dxa"/>
            <w:vAlign w:val="bottom"/>
            <w:gridSpan w:val="5"/>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4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434,313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6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Reconciliation of lease liabilities:</w:t>
            </w:r>
          </w:p>
        </w:tc>
        <w:tc>
          <w:tcPr>
            <w:tcW w:w="120" w:type="dxa"/>
            <w:vAlign w:val="bottom"/>
            <w:tcBorders>
              <w:top w:val="single" w:sz="8" w:color="CFF0FC"/>
            </w:tcBorders>
          </w:tcPr>
          <w:p>
            <w:pPr>
              <w:spacing w:after="0"/>
              <w:rPr>
                <w:sz w:val="18"/>
                <w:szCs w:val="18"/>
                <w:color w:val="auto"/>
              </w:rPr>
            </w:pPr>
          </w:p>
        </w:tc>
        <w:tc>
          <w:tcPr>
            <w:tcW w:w="300" w:type="dxa"/>
            <w:vAlign w:val="bottom"/>
            <w:tcBorders>
              <w:top w:val="single" w:sz="8" w:color="CFF0FC"/>
            </w:tcBorders>
          </w:tcPr>
          <w:p>
            <w:pPr>
              <w:spacing w:after="0"/>
              <w:rPr>
                <w:sz w:val="18"/>
                <w:szCs w:val="18"/>
                <w:color w:val="auto"/>
              </w:rPr>
            </w:pPr>
          </w:p>
        </w:tc>
        <w:tc>
          <w:tcPr>
            <w:tcW w:w="980" w:type="dxa"/>
            <w:vAlign w:val="bottom"/>
            <w:tcBorders>
              <w:top w:val="single" w:sz="8" w:color="CFF0FC"/>
            </w:tcBorders>
          </w:tcPr>
          <w:p>
            <w:pPr>
              <w:spacing w:after="0"/>
              <w:rPr>
                <w:sz w:val="18"/>
                <w:szCs w:val="18"/>
                <w:color w:val="auto"/>
              </w:rPr>
            </w:pPr>
          </w:p>
        </w:tc>
        <w:tc>
          <w:tcPr>
            <w:tcW w:w="140" w:type="dxa"/>
            <w:vAlign w:val="bottom"/>
            <w:tcBorders>
              <w:top w:val="single" w:sz="8" w:color="CFF0FC"/>
            </w:tcBorders>
          </w:tcPr>
          <w:p>
            <w:pPr>
              <w:spacing w:after="0"/>
              <w:rPr>
                <w:sz w:val="18"/>
                <w:szCs w:val="18"/>
                <w:color w:val="auto"/>
              </w:rPr>
            </w:pPr>
          </w:p>
        </w:tc>
        <w:tc>
          <w:tcPr>
            <w:tcW w:w="80" w:type="dxa"/>
            <w:vAlign w:val="bottom"/>
            <w:tcBorders>
              <w:top w:val="single" w:sz="8" w:color="CFF0FC"/>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2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Present values</w:t>
            </w: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480" w:type="dxa"/>
            <w:vAlign w:val="bottom"/>
            <w:gridSpan w:val="5"/>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4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343,175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Lease liabilities - current</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53,259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Lease liabilities - noncurrent</w:t>
            </w:r>
          </w:p>
        </w:tc>
        <w:tc>
          <w:tcPr>
            <w:tcW w:w="12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CFF0FC"/>
            </w:tcBorders>
            <w:shd w:val="clear" w:color="auto" w:fill="CFF0FC"/>
          </w:tcPr>
          <w:p>
            <w:pPr>
              <w:spacing w:after="0"/>
              <w:rPr>
                <w:sz w:val="18"/>
                <w:szCs w:val="18"/>
                <w:color w:val="auto"/>
              </w:rPr>
            </w:pPr>
          </w:p>
        </w:tc>
        <w:tc>
          <w:tcPr>
            <w:tcW w:w="9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60" w:type="dxa"/>
            <w:vAlign w:val="bottom"/>
            <w:tcBorders>
              <w:bottom w:val="single" w:sz="8" w:color="auto"/>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6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289,916</w:t>
            </w:r>
          </w:p>
        </w:tc>
        <w:tc>
          <w:tcPr>
            <w:tcW w:w="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620" w:type="dxa"/>
            <w:vAlign w:val="bottom"/>
          </w:tcPr>
          <w:p>
            <w:pPr>
              <w:spacing w:after="0"/>
              <w:rPr>
                <w:sz w:val="20"/>
                <w:szCs w:val="20"/>
                <w:color w:val="auto"/>
              </w:rPr>
            </w:pPr>
            <w:r>
              <w:rPr>
                <w:rFonts w:ascii="Times New Roman" w:cs="Times New Roman" w:eastAsia="Times New Roman" w:hAnsi="Times New Roman"/>
                <w:sz w:val="18"/>
                <w:szCs w:val="18"/>
                <w:color w:val="auto"/>
              </w:rPr>
              <w:t>Lease liabilities - total</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80" w:type="dxa"/>
            <w:vAlign w:val="bottom"/>
            <w:gridSpan w:val="5"/>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343,175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620" w:type="dxa"/>
            <w:vAlign w:val="bottom"/>
            <w:shd w:val="clear" w:color="auto" w:fill="CFF0FC"/>
          </w:tcPr>
          <w:p>
            <w:pPr>
              <w:ind w:left="180"/>
              <w:spacing w:after="0" w:line="196" w:lineRule="exact"/>
              <w:rPr>
                <w:sz w:val="20"/>
                <w:szCs w:val="20"/>
                <w:color w:val="auto"/>
              </w:rPr>
            </w:pPr>
            <w:r>
              <w:rPr>
                <w:rFonts w:ascii="Times New Roman" w:cs="Times New Roman" w:eastAsia="Times New Roman" w:hAnsi="Times New Roman"/>
                <w:sz w:val="18"/>
                <w:szCs w:val="18"/>
                <w:color w:val="auto"/>
              </w:rPr>
              <w:t>Difference between undiscounted and discounted cash flows</w:t>
            </w:r>
          </w:p>
        </w:tc>
        <w:tc>
          <w:tcPr>
            <w:tcW w:w="1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480" w:type="dxa"/>
            <w:vAlign w:val="bottom"/>
            <w:gridSpan w:val="5"/>
            <w:shd w:val="clear" w:color="auto" w:fill="CFF0FC"/>
          </w:tcPr>
          <w:p>
            <w:pPr>
              <w:jc w:val="right"/>
              <w:ind w:right="1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40" w:type="dxa"/>
            <w:vAlign w:val="bottom"/>
            <w:gridSpan w:val="3"/>
            <w:shd w:val="clear" w:color="auto" w:fill="CFF0FC"/>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91,138</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7059930</wp:posOffset>
            </wp:positionH>
            <wp:positionV relativeFrom="paragraph">
              <wp:posOffset>-864870</wp:posOffset>
            </wp:positionV>
            <wp:extent cx="7747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-307975</wp:posOffset>
            </wp:positionV>
            <wp:extent cx="7747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Segments</w:t>
      </w:r>
    </w:p>
    <w:p>
      <w:pPr>
        <w:spacing w:after="0" w:line="33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Company has one reportable segment, Sportsman’s Warehouse, which operates solely as a sporting goods retailer, including both retail stores and an e-commerce platform. The single operating segment derives revenues from customers purchasing goods from both the Company’s retail stores and its e-commerce platform.</w:t>
      </w:r>
    </w:p>
    <w:p>
      <w:pPr>
        <w:spacing w:after="0" w:line="6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CODM assesses performance for the single operating segment and decides how to allocate resources based on net income (loss) that also is reported on the condensed consolidated statement of operations.</w:t>
      </w:r>
    </w:p>
    <w:p>
      <w:pPr>
        <w:spacing w:after="0" w:line="54"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measure of segment assets is reported on the condensed consolidated balance sheet as total consolidated assets. Asset information is not presented here because its presentation here would be duplicative of the condensed consolidated balance sheets.</w:t>
      </w:r>
    </w:p>
    <w:p>
      <w:pPr>
        <w:spacing w:after="0" w:line="54" w:lineRule="exact"/>
        <w:rPr>
          <w:sz w:val="20"/>
          <w:szCs w:val="20"/>
          <w:color w:val="auto"/>
        </w:rPr>
      </w:pPr>
    </w:p>
    <w:p>
      <w:pPr>
        <w:jc w:val="both"/>
        <w:ind w:right="360"/>
        <w:spacing w:after="0" w:line="266" w:lineRule="auto"/>
        <w:rPr>
          <w:sz w:val="20"/>
          <w:szCs w:val="20"/>
          <w:color w:val="auto"/>
        </w:rPr>
      </w:pPr>
      <w:r>
        <w:rPr>
          <w:rFonts w:ascii="Times New Roman" w:cs="Times New Roman" w:eastAsia="Times New Roman" w:hAnsi="Times New Roman"/>
          <w:sz w:val="18"/>
          <w:szCs w:val="18"/>
          <w:color w:val="auto"/>
        </w:rPr>
        <w:t>Net income is used in monitoring budget versus actual results. The CODM also uses net income (loss) in competitive analysis by benchmarking to the Company’s competitors. The competitive analysis along with the monitoring of budgeted versus actual results are used in assessing performance of the segment and in establishing management’s compensation.</w:t>
      </w:r>
    </w:p>
    <w:p>
      <w:pPr>
        <w:sectPr>
          <w:pgSz w:w="11900" w:h="16838" w:orient="portrait"/>
          <w:cols w:equalWidth="0" w:num="1">
            <w:col w:w="11240"/>
          </w:cols>
          <w:pgMar w:left="320" w:top="76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single reportable segment revenue, segment profit or loss, and significant segment expenses are as follows:</w:t>
      </w: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2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660" w:type="dxa"/>
            <w:vAlign w:val="bottom"/>
            <w:tcBorders>
              <w:bottom w:val="single" w:sz="8" w:color="auto"/>
            </w:tcBorders>
            <w:gridSpan w:val="4"/>
          </w:tcPr>
          <w:p>
            <w:pPr>
              <w:jc w:val="right"/>
              <w:ind w:right="612"/>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600" w:type="dxa"/>
            <w:vAlign w:val="bottom"/>
            <w:tcBorders>
              <w:bottom w:val="single" w:sz="8" w:color="auto"/>
            </w:tcBorders>
            <w:gridSpan w:val="4"/>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Thirty-Nine Weeks Ended</w:t>
            </w:r>
          </w:p>
        </w:tc>
        <w:tc>
          <w:tcPr>
            <w:tcW w:w="100" w:type="dxa"/>
            <w:vAlign w:val="bottom"/>
          </w:tcPr>
          <w:p>
            <w:pPr>
              <w:spacing w:after="0"/>
              <w:rPr>
                <w:sz w:val="15"/>
                <w:szCs w:val="15"/>
                <w:color w:val="auto"/>
              </w:rPr>
            </w:pPr>
          </w:p>
        </w:tc>
      </w:tr>
      <w:tr>
        <w:trPr>
          <w:trHeight w:val="227"/>
        </w:trPr>
        <w:tc>
          <w:tcPr>
            <w:tcW w:w="5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November 1,</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November 2,</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November 1,</w:t>
            </w:r>
          </w:p>
        </w:tc>
        <w:tc>
          <w:tcPr>
            <w:tcW w:w="140" w:type="dxa"/>
            <w:vAlign w:val="bottom"/>
          </w:tcPr>
          <w:p>
            <w:pPr>
              <w:spacing w:after="0"/>
              <w:rPr>
                <w:sz w:val="19"/>
                <w:szCs w:val="19"/>
                <w:color w:val="auto"/>
              </w:rPr>
            </w:pPr>
          </w:p>
        </w:tc>
        <w:tc>
          <w:tcPr>
            <w:tcW w:w="118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November 2,</w:t>
            </w:r>
          </w:p>
        </w:tc>
      </w:tr>
      <w:tr>
        <w:trPr>
          <w:trHeight w:val="185"/>
        </w:trPr>
        <w:tc>
          <w:tcPr>
            <w:tcW w:w="52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2025</w:t>
            </w:r>
          </w:p>
        </w:tc>
        <w:tc>
          <w:tcPr>
            <w:tcW w:w="3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2025</w:t>
            </w:r>
          </w:p>
        </w:tc>
        <w:tc>
          <w:tcPr>
            <w:tcW w:w="3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r>
      <w:tr>
        <w:trPr>
          <w:trHeight w:val="209"/>
        </w:trPr>
        <w:tc>
          <w:tcPr>
            <w:tcW w:w="5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sales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331,323</w:t>
            </w:r>
          </w:p>
        </w:tc>
        <w:tc>
          <w:tcPr>
            <w:tcW w:w="5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324,261</w:t>
            </w:r>
          </w:p>
        </w:tc>
        <w:tc>
          <w:tcPr>
            <w:tcW w:w="180" w:type="dxa"/>
            <w:vAlign w:val="bottom"/>
            <w:shd w:val="clear" w:color="auto" w:fill="CFF0FC"/>
          </w:tcPr>
          <w:p>
            <w:pPr>
              <w:spacing w:after="0"/>
              <w:rPr>
                <w:sz w:val="18"/>
                <w:szCs w:val="18"/>
                <w:color w:val="auto"/>
              </w:rPr>
            </w:pPr>
          </w:p>
        </w:tc>
        <w:tc>
          <w:tcPr>
            <w:tcW w:w="2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874,325</w:t>
            </w:r>
          </w:p>
        </w:tc>
        <w:tc>
          <w:tcPr>
            <w:tcW w:w="32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857,235</w:t>
            </w:r>
          </w:p>
        </w:tc>
        <w:tc>
          <w:tcPr>
            <w:tcW w:w="100" w:type="dxa"/>
            <w:vAlign w:val="bottom"/>
            <w:shd w:val="clear" w:color="auto" w:fill="CFF0FC"/>
          </w:tcPr>
          <w:p>
            <w:pPr>
              <w:spacing w:after="0"/>
              <w:rPr>
                <w:sz w:val="18"/>
                <w:szCs w:val="18"/>
                <w:color w:val="auto"/>
              </w:rPr>
            </w:pPr>
          </w:p>
        </w:tc>
      </w:tr>
      <w:tr>
        <w:trPr>
          <w:trHeight w:val="216"/>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222,604</w:t>
            </w:r>
          </w:p>
        </w:tc>
        <w:tc>
          <w:tcPr>
            <w:tcW w:w="3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221,173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596,014</w:t>
            </w:r>
          </w:p>
        </w:tc>
        <w:tc>
          <w:tcPr>
            <w:tcW w:w="3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590,343</w:t>
            </w:r>
          </w:p>
        </w:tc>
        <w:tc>
          <w:tcPr>
            <w:tcW w:w="100" w:type="dxa"/>
            <w:vAlign w:val="bottom"/>
          </w:tcPr>
          <w:p>
            <w:pPr>
              <w:spacing w:after="0"/>
              <w:rPr>
                <w:sz w:val="18"/>
                <w:szCs w:val="18"/>
                <w:color w:val="auto"/>
              </w:rPr>
            </w:pPr>
          </w:p>
        </w:tc>
      </w:tr>
      <w:tr>
        <w:trPr>
          <w:trHeight w:val="210"/>
        </w:trPr>
        <w:tc>
          <w:tcPr>
            <w:tcW w:w="526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Gross profit</w:t>
            </w:r>
          </w:p>
        </w:tc>
        <w:tc>
          <w:tcPr>
            <w:tcW w:w="16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108,719</w:t>
            </w:r>
          </w:p>
        </w:tc>
        <w:tc>
          <w:tcPr>
            <w:tcW w:w="3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103,088</w:t>
            </w:r>
          </w:p>
        </w:tc>
        <w:tc>
          <w:tcPr>
            <w:tcW w:w="1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278,311</w:t>
            </w:r>
          </w:p>
        </w:tc>
        <w:tc>
          <w:tcPr>
            <w:tcW w:w="3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266,892</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425"/>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52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Payroll</w:t>
            </w:r>
          </w:p>
        </w:tc>
        <w:tc>
          <w:tcPr>
            <w:tcW w:w="16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43,860</w:t>
            </w:r>
          </w:p>
        </w:tc>
        <w:tc>
          <w:tcPr>
            <w:tcW w:w="3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42,347</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127,918</w:t>
            </w:r>
          </w:p>
        </w:tc>
        <w:tc>
          <w:tcPr>
            <w:tcW w:w="3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122,197</w:t>
            </w:r>
          </w:p>
        </w:tc>
        <w:tc>
          <w:tcPr>
            <w:tcW w:w="100" w:type="dxa"/>
            <w:vAlign w:val="bottom"/>
            <w:shd w:val="clear" w:color="auto" w:fill="CFF0FC"/>
          </w:tcPr>
          <w:p>
            <w:pPr>
              <w:spacing w:after="0"/>
              <w:rPr>
                <w:sz w:val="18"/>
                <w:szCs w:val="18"/>
                <w:color w:val="auto"/>
              </w:rPr>
            </w:pPr>
          </w:p>
        </w:tc>
      </w:tr>
      <w:tr>
        <w:trPr>
          <w:trHeight w:val="216"/>
        </w:trPr>
        <w:tc>
          <w:tcPr>
            <w:tcW w:w="5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Rent</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23,356</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23,244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70,599</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69,994</w:t>
            </w:r>
          </w:p>
        </w:tc>
        <w:tc>
          <w:tcPr>
            <w:tcW w:w="100" w:type="dxa"/>
            <w:vAlign w:val="bottom"/>
          </w:tcPr>
          <w:p>
            <w:pPr>
              <w:spacing w:after="0"/>
              <w:rPr>
                <w:sz w:val="18"/>
                <w:szCs w:val="18"/>
                <w:color w:val="auto"/>
              </w:rPr>
            </w:pPr>
          </w:p>
        </w:tc>
      </w:tr>
      <w:tr>
        <w:trPr>
          <w:trHeight w:val="216"/>
        </w:trPr>
        <w:tc>
          <w:tcPr>
            <w:tcW w:w="52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9,619</w:t>
            </w:r>
          </w:p>
        </w:tc>
        <w:tc>
          <w:tcPr>
            <w:tcW w:w="3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9,984</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29,401</w:t>
            </w:r>
          </w:p>
        </w:tc>
        <w:tc>
          <w:tcPr>
            <w:tcW w:w="3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30,536</w:t>
            </w:r>
          </w:p>
        </w:tc>
        <w:tc>
          <w:tcPr>
            <w:tcW w:w="100" w:type="dxa"/>
            <w:vAlign w:val="bottom"/>
            <w:shd w:val="clear" w:color="auto" w:fill="CFF0FC"/>
          </w:tcPr>
          <w:p>
            <w:pPr>
              <w:spacing w:after="0"/>
              <w:rPr>
                <w:sz w:val="18"/>
                <w:szCs w:val="18"/>
                <w:color w:val="auto"/>
              </w:rPr>
            </w:pPr>
          </w:p>
        </w:tc>
      </w:tr>
      <w:tr>
        <w:trPr>
          <w:trHeight w:val="216"/>
        </w:trPr>
        <w:tc>
          <w:tcPr>
            <w:tcW w:w="5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Nonrecurring operating expenses (1)</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3,955</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4,738</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2,989</w:t>
            </w:r>
          </w:p>
        </w:tc>
        <w:tc>
          <w:tcPr>
            <w:tcW w:w="100" w:type="dxa"/>
            <w:vAlign w:val="bottom"/>
          </w:tcPr>
          <w:p>
            <w:pPr>
              <w:spacing w:after="0"/>
              <w:rPr>
                <w:sz w:val="18"/>
                <w:szCs w:val="18"/>
                <w:color w:val="auto"/>
              </w:rPr>
            </w:pPr>
          </w:p>
        </w:tc>
      </w:tr>
      <w:tr>
        <w:trPr>
          <w:trHeight w:val="216"/>
        </w:trPr>
        <w:tc>
          <w:tcPr>
            <w:tcW w:w="52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Pre-opening (2)</w:t>
            </w:r>
          </w:p>
        </w:tc>
        <w:tc>
          <w:tcPr>
            <w:tcW w:w="16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3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615</w:t>
            </w:r>
          </w:p>
        </w:tc>
        <w:tc>
          <w:tcPr>
            <w:tcW w:w="3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shd w:val="clear" w:color="auto" w:fill="CFF0FC"/>
          </w:tcPr>
          <w:p>
            <w:pPr>
              <w:spacing w:after="0"/>
              <w:rPr>
                <w:sz w:val="18"/>
                <w:szCs w:val="18"/>
                <w:color w:val="auto"/>
              </w:rPr>
            </w:pPr>
          </w:p>
        </w:tc>
      </w:tr>
      <w:tr>
        <w:trPr>
          <w:trHeight w:val="216"/>
        </w:trPr>
        <w:tc>
          <w:tcPr>
            <w:tcW w:w="5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Other operating (3)</w:t>
            </w: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23,273</w:t>
            </w:r>
          </w:p>
        </w:tc>
        <w:tc>
          <w:tcPr>
            <w:tcW w:w="3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22,145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63,603</w:t>
            </w:r>
          </w:p>
        </w:tc>
        <w:tc>
          <w:tcPr>
            <w:tcW w:w="3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62,985</w:t>
            </w:r>
          </w:p>
        </w:tc>
        <w:tc>
          <w:tcPr>
            <w:tcW w:w="100" w:type="dxa"/>
            <w:vAlign w:val="bottom"/>
          </w:tcPr>
          <w:p>
            <w:pPr>
              <w:spacing w:after="0"/>
              <w:rPr>
                <w:sz w:val="18"/>
                <w:szCs w:val="18"/>
                <w:color w:val="auto"/>
              </w:rPr>
            </w:pPr>
          </w:p>
        </w:tc>
      </w:tr>
      <w:tr>
        <w:trPr>
          <w:trHeight w:val="210"/>
        </w:trPr>
        <w:tc>
          <w:tcPr>
            <w:tcW w:w="52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 selling, general and administrative expenses</w:t>
            </w:r>
          </w:p>
        </w:tc>
        <w:tc>
          <w:tcPr>
            <w:tcW w:w="16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104,452</w:t>
            </w:r>
          </w:p>
        </w:tc>
        <w:tc>
          <w:tcPr>
            <w:tcW w:w="3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99,973</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296,874</w:t>
            </w:r>
          </w:p>
        </w:tc>
        <w:tc>
          <w:tcPr>
            <w:tcW w:w="3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288,727</w:t>
            </w:r>
          </w:p>
        </w:tc>
        <w:tc>
          <w:tcPr>
            <w:tcW w:w="100" w:type="dxa"/>
            <w:vAlign w:val="bottom"/>
            <w:shd w:val="clear" w:color="auto" w:fill="CFF0FC"/>
          </w:tcPr>
          <w:p>
            <w:pPr>
              <w:spacing w:after="0"/>
              <w:rPr>
                <w:sz w:val="18"/>
                <w:szCs w:val="18"/>
                <w:color w:val="auto"/>
              </w:rPr>
            </w:pPr>
          </w:p>
        </w:tc>
      </w:tr>
      <w:tr>
        <w:trPr>
          <w:trHeight w:val="216"/>
        </w:trPr>
        <w:tc>
          <w:tcPr>
            <w:tcW w:w="5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(Loss) income from operations</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4,267</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(18,563)</w:t>
            </w:r>
          </w:p>
        </w:tc>
        <w:tc>
          <w:tcPr>
            <w:tcW w:w="14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(21,835)</w:t>
            </w:r>
          </w:p>
        </w:tc>
      </w:tr>
      <w:tr>
        <w:trPr>
          <w:trHeight w:val="216"/>
        </w:trPr>
        <w:tc>
          <w:tcPr>
            <w:tcW w:w="5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losses</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w:t>
            </w:r>
          </w:p>
        </w:tc>
        <w:tc>
          <w:tcPr>
            <w:tcW w:w="100" w:type="dxa"/>
            <w:vAlign w:val="bottom"/>
          </w:tcPr>
          <w:p>
            <w:pPr>
              <w:spacing w:after="0"/>
              <w:rPr>
                <w:sz w:val="18"/>
                <w:szCs w:val="18"/>
                <w:color w:val="auto"/>
              </w:rPr>
            </w:pPr>
          </w:p>
        </w:tc>
      </w:tr>
      <w:tr>
        <w:trPr>
          <w:trHeight w:val="216"/>
        </w:trPr>
        <w:tc>
          <w:tcPr>
            <w:tcW w:w="526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Interest expense</w:t>
            </w:r>
          </w:p>
        </w:tc>
        <w:tc>
          <w:tcPr>
            <w:tcW w:w="16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4,053</w:t>
            </w:r>
          </w:p>
        </w:tc>
        <w:tc>
          <w:tcPr>
            <w:tcW w:w="3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3,317</w:t>
            </w:r>
          </w:p>
        </w:tc>
        <w:tc>
          <w:tcPr>
            <w:tcW w:w="1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10,718</w:t>
            </w:r>
          </w:p>
        </w:tc>
        <w:tc>
          <w:tcPr>
            <w:tcW w:w="3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9,408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(Loss) income before income taxes</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(29,356)</w:t>
            </w:r>
          </w:p>
        </w:tc>
        <w:tc>
          <w:tcPr>
            <w:tcW w:w="14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(31,700)</w:t>
            </w:r>
          </w:p>
        </w:tc>
      </w:tr>
      <w:tr>
        <w:trPr>
          <w:trHeight w:val="216"/>
        </w:trPr>
        <w:tc>
          <w:tcPr>
            <w:tcW w:w="5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16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3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(1,027)</w:t>
            </w:r>
          </w:p>
        </w:tc>
        <w:tc>
          <w:tcPr>
            <w:tcW w:w="14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(7,364)</w:t>
            </w:r>
          </w:p>
        </w:tc>
      </w:tr>
      <w:tr>
        <w:trPr>
          <w:trHeight w:val="20"/>
        </w:trPr>
        <w:tc>
          <w:tcPr>
            <w:tcW w:w="52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5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Consolidated net (loss) income</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(364)</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(28,329)</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(24,336)</w:t>
            </w:r>
          </w:p>
        </w:tc>
      </w:tr>
      <w:tr>
        <w:trPr>
          <w:trHeight w:val="20"/>
        </w:trPr>
        <w:tc>
          <w:tcPr>
            <w:tcW w:w="5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4128135</wp:posOffset>
            </wp:positionH>
            <wp:positionV relativeFrom="paragraph">
              <wp:posOffset>-2253615</wp:posOffset>
            </wp:positionV>
            <wp:extent cx="7747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-2253615</wp:posOffset>
            </wp:positionV>
            <wp:extent cx="6858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-2253615</wp:posOffset>
            </wp:positionV>
            <wp:extent cx="6858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-2253615</wp:posOffset>
            </wp:positionV>
            <wp:extent cx="6858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-453390</wp:posOffset>
            </wp:positionV>
            <wp:extent cx="7747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-453390</wp:posOffset>
            </wp:positionV>
            <wp:extent cx="6858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-453390</wp:posOffset>
            </wp:positionV>
            <wp:extent cx="6858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-453390</wp:posOffset>
            </wp:positionV>
            <wp:extent cx="6858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-170815</wp:posOffset>
            </wp:positionV>
            <wp:extent cx="7747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-170815</wp:posOffset>
            </wp:positionV>
            <wp:extent cx="6858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-170815</wp:posOffset>
            </wp:positionV>
            <wp:extent cx="6858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ind w:left="520" w:right="100" w:hanging="512"/>
        <w:spacing w:after="0" w:line="261" w:lineRule="auto"/>
        <w:tabs>
          <w:tab w:leader="none" w:pos="5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certain expenses the Company believes fall outside of typical costs related to normal operating conditions including executive transition costs.</w:t>
      </w:r>
    </w:p>
    <w:p>
      <w:pPr>
        <w:ind w:left="520" w:hanging="512"/>
        <w:spacing w:after="0"/>
        <w:tabs>
          <w:tab w:leader="none" w:pos="5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expenses incurred due to the opening of new store locations.</w:t>
      </w:r>
    </w:p>
    <w:p>
      <w:pPr>
        <w:spacing w:after="0" w:line="9"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expenses in Other operating, include: marketing, credit card fees, utilities, insurance, software support, consulting and legal.</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Long-Term Debt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Long-term debt consisted of the following as of November 1, 2025 and February 1, 2025:</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2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2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November 1,</w:t>
            </w: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4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February 1,</w:t>
            </w:r>
          </w:p>
        </w:tc>
      </w:tr>
      <w:tr>
        <w:trPr>
          <w:trHeight w:val="173"/>
        </w:trPr>
        <w:tc>
          <w:tcPr>
            <w:tcW w:w="512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5"/>
                <w:szCs w:val="15"/>
                <w:color w:val="auto"/>
              </w:rPr>
            </w:pPr>
          </w:p>
        </w:tc>
      </w:tr>
      <w:tr>
        <w:trPr>
          <w:trHeight w:val="210"/>
        </w:trPr>
        <w:tc>
          <w:tcPr>
            <w:tcW w:w="5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Term loan</w:t>
            </w:r>
          </w:p>
        </w:tc>
        <w:tc>
          <w:tcPr>
            <w:tcW w:w="27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45,000</w:t>
            </w:r>
          </w:p>
        </w:tc>
        <w:tc>
          <w:tcPr>
            <w:tcW w:w="4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25,000</w:t>
            </w:r>
          </w:p>
        </w:tc>
      </w:tr>
      <w:tr>
        <w:trPr>
          <w:trHeight w:val="216"/>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Less discount</w:t>
            </w:r>
          </w:p>
        </w:tc>
        <w:tc>
          <w:tcPr>
            <w:tcW w:w="2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(993)</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(933)</w:t>
            </w:r>
          </w:p>
        </w:tc>
      </w:tr>
      <w:tr>
        <w:trPr>
          <w:trHeight w:val="20"/>
        </w:trPr>
        <w:tc>
          <w:tcPr>
            <w:tcW w:w="51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5120" w:type="dxa"/>
            <w:vAlign w:val="bottom"/>
            <w:shd w:val="clear" w:color="auto" w:fill="CFF0FC"/>
          </w:tcPr>
          <w:p>
            <w:pPr>
              <w:spacing w:after="0"/>
              <w:rPr>
                <w:sz w:val="18"/>
                <w:szCs w:val="18"/>
                <w:color w:val="auto"/>
              </w:rPr>
            </w:pPr>
          </w:p>
        </w:tc>
        <w:tc>
          <w:tcPr>
            <w:tcW w:w="25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44,007</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24,067</w:t>
            </w:r>
          </w:p>
        </w:tc>
      </w:tr>
      <w:tr>
        <w:trPr>
          <w:trHeight w:val="216"/>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Less current portion, net of discount</w:t>
            </w:r>
          </w:p>
        </w:tc>
        <w:tc>
          <w:tcPr>
            <w:tcW w:w="2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1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0"/>
        </w:trPr>
        <w:tc>
          <w:tcPr>
            <w:tcW w:w="5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Long-term portion</w:t>
            </w:r>
          </w:p>
        </w:tc>
        <w:tc>
          <w:tcPr>
            <w:tcW w:w="27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44,007</w:t>
            </w:r>
          </w:p>
        </w:tc>
        <w:tc>
          <w:tcPr>
            <w:tcW w:w="4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24,067</w:t>
            </w:r>
          </w:p>
        </w:tc>
      </w:tr>
      <w:tr>
        <w:trPr>
          <w:trHeight w:val="20"/>
        </w:trPr>
        <w:tc>
          <w:tcPr>
            <w:tcW w:w="5120" w:type="dxa"/>
            <w:vAlign w:val="bottom"/>
            <w:tcBorders>
              <w:top w:val="single" w:sz="8" w:color="CFF0FC"/>
            </w:tcBorders>
            <w:shd w:val="clear" w:color="auto" w:fill="CFF0FC"/>
          </w:tcPr>
          <w:p>
            <w:pPr>
              <w:spacing w:after="0" w:line="20" w:lineRule="exact"/>
              <w:rPr>
                <w:sz w:val="1"/>
                <w:szCs w:val="1"/>
                <w:color w:val="auto"/>
              </w:rPr>
            </w:pPr>
          </w:p>
        </w:tc>
        <w:tc>
          <w:tcPr>
            <w:tcW w:w="25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5868670</wp:posOffset>
            </wp:positionH>
            <wp:positionV relativeFrom="paragraph">
              <wp:posOffset>-24765</wp:posOffset>
            </wp:positionV>
            <wp:extent cx="6858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-7620</wp:posOffset>
            </wp:positionV>
            <wp:extent cx="6858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Term Loan</w:t>
      </w:r>
    </w:p>
    <w:p>
      <w:pPr>
        <w:spacing w:after="0" w:line="22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On July 30, 2024, Sportsman’s Warehouse, Inc. (“SWI”) a wholly owned subsidiary of Holdings, as lead borrower, Holdings, as guarantor, and other subsidiaries of Holdings, each as borrowers, and PLC Agent LLC, as administrative and collateral agent for various lenders affiliated with Pathlight Capital (the “ABL Lenders”), entered into an ABL Term Loan Credit Agreement (as amended, the “Term Loan Agreement”) that governs the Company’s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term loan (the “Term Loan”). The Term Loan provides for a senior secured term loan credit facility in an aggregate principal amount of $45,000, consisting of $25,000 in an initial ABL term loan and $20,000 in a delayed draw ABL term loan that were made by the ABL Lenders on July 30, 2024 and July 30, 2025, respectively. The $45,000 in proceeds from the initial ABL term loan and delayed draw ABL term loan were used to repay obligations under the Revolving Line of Credit described in Note 9.</w:t>
      </w:r>
    </w:p>
    <w:p>
      <w:pPr>
        <w:spacing w:after="0" w:line="180"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Company incurred deferred financing costs and discounts related to the initial draw on the Term Loan of approximately $1,136. The Company incurred additional deferred financing costs and discounts related to the delayed draw on the Term Loan of approximately $428. These costs offset the recorded carrying amount of the Term Loan on the condensed consolidated balance sheet and are amortized to interest expense over the life of the Term Loan. As of November 1, 2025 and February 1, 2025, the Company had $45,000 and $25,000, respectively, in outstanding loans under the Term Loan. As of November 1, 2025, the Company did not have any remaining amount available for borrowing under the Term Loan.</w:t>
      </w:r>
    </w:p>
    <w:p>
      <w:pPr>
        <w:spacing w:after="0" w:line="183"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The Term Loan has a stated maturity date of the earlier of July 30, 2029 or the maturity date of the Revolving Line of Credit (described below). Borrowings under the Term Loan bear interest at a rate equal to the greater of a floor rate of 3.0% or (i) a specified term secured overnight financing rate (SOFR), plus (ii) 0.10% as a SOFR adjustment, plus (iii) the applicable margin as specified in the Term Loan. The applicable margin means either 3.50% or 6.50% depending on the type of term loan. Under the Term Loan, loans may be required to be converted to base rate loans and in such case, the applicable margin rate will increase by 1.0%. The interest rate on the amounts outstanding under the Term Loan as of November 1, 2025 was 10.12%.</w:t>
      </w:r>
    </w:p>
    <w:p>
      <w:pPr>
        <w:spacing w:after="0" w:line="18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Subject to specified exceptions, SWI and the other borrowers may be required to make mandatory prepayments under the Term Loan in the event of certain dispositions of certain property or assets, in the event of receipt of certain tax refunds, insurance or condemnation proceeds, upon the issuance of certain debt or equity securities, upon the incurrence of certain indebtedness for borrowed money or upon the receipt of certain payments not received in the ordinary course of business.</w:t>
      </w:r>
    </w:p>
    <w:p>
      <w:pPr>
        <w:spacing w:after="0" w:line="112"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In addition, the Term Loan contains customary affirmative and negative covenants, including covenants that limit the ability of the Company to incur, create or assume certain indebtedness, to create, incur or assume certain liens, to make certain investments, to make sales, transfers and dispositions of certain property and to undergo certain fundamental changes, including certain mergers, liquidations and consolidations. The Term Loan also requires the Company to maintain a minimum availability at all times under its Revolving Line of Credit of not less than the greater of $30,000 and 10% of the gross borrowing base as defined in the Revolving Line of Credit Agreement and contains customary events of default, including defaults triggered by defaults under the Revolving Line of Credit. See Note 9 for information on the Revolving Line of Credit.</w:t>
      </w:r>
    </w:p>
    <w:p>
      <w:pPr>
        <w:spacing w:after="0" w:line="187"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Each of the subsidiaries of Holdings is a borrower under the Term Loan, and all obligations under the Term Loan are guaranteed by Holdings. All of the obligations under the Term Loan are secured by a lien on substantially all of Holdings’ assets and the assets of all of Holdings’ subsidiaries, including a pledge of all capital stock of each of Holdings’ subsidiaries. The lien securing the obligations under the Term Loan is a first priority lien as to equipment, fixtures, intellectual property and equity interests.</w:t>
      </w:r>
    </w:p>
    <w:p>
      <w:pPr>
        <w:spacing w:after="0" w:line="9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As of November 1, 2025 and February 1, 2025, the Company had $993 and $933, respectively, in outstanding deferred financing fees and discounts related to the Term Loan. During the 13 and 39 weeks ended November 1, 2025, the Company recognized $159 and $366, respectively, of non-cash interest expense with regard to the amortization of deferred financing fees and discounts related to the Term Loan. During the 13 and 39 weeks ended November 2, 2024, the Company recognized $72 and $76, respectively of non-cash interest expense with regard to the amortization of deferred financing fees and discounts related to the Term Loan.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scheduled minimum payments on outstanding long-term debt were as follows as of November 1, 2025:</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Fiscal Year Ending:</w:t>
            </w:r>
          </w:p>
        </w:tc>
        <w:tc>
          <w:tcPr>
            <w:tcW w:w="3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Minimum Payments</w:t>
            </w:r>
          </w:p>
        </w:tc>
        <w:tc>
          <w:tcPr>
            <w:tcW w:w="100" w:type="dxa"/>
            <w:vAlign w:val="bottom"/>
          </w:tcPr>
          <w:p>
            <w:pPr>
              <w:spacing w:after="0"/>
              <w:rPr>
                <w:sz w:val="15"/>
                <w:szCs w:val="15"/>
                <w:color w:val="auto"/>
              </w:rPr>
            </w:pPr>
          </w:p>
        </w:tc>
      </w:tr>
      <w:tr>
        <w:trPr>
          <w:trHeight w:val="210"/>
        </w:trPr>
        <w:tc>
          <w:tcPr>
            <w:tcW w:w="8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2025 (remainder)</w:t>
            </w:r>
          </w:p>
        </w:tc>
        <w:tc>
          <w:tcPr>
            <w:tcW w:w="5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78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7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2027</w:t>
            </w:r>
          </w:p>
        </w:tc>
        <w:tc>
          <w:tcPr>
            <w:tcW w:w="3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45,000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87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45,000</w:t>
            </w:r>
          </w:p>
        </w:tc>
        <w:tc>
          <w:tcPr>
            <w:tcW w:w="100" w:type="dxa"/>
            <w:vAlign w:val="bottom"/>
          </w:tcPr>
          <w:p>
            <w:pPr>
              <w:spacing w:after="0"/>
              <w:rPr>
                <w:sz w:val="18"/>
                <w:szCs w:val="18"/>
                <w:color w:val="auto"/>
              </w:rPr>
            </w:pPr>
          </w:p>
        </w:tc>
      </w:tr>
      <w:tr>
        <w:trPr>
          <w:trHeight w:val="20"/>
        </w:trPr>
        <w:tc>
          <w:tcPr>
            <w:tcW w:w="8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Revolving Line of Credit</w:t>
      </w:r>
    </w:p>
    <w:p>
      <w:pPr>
        <w:spacing w:after="0" w:line="121"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SWI, as lead borrower, Holdings, and other subsidiaries of Holdings, each as borrowers, and Wells Fargo Bank, National Association (“Wells Fargo”), as administrative agent, collateral agent, swing line lender, letter of credit issuer and lender, with a consortium of banks led by Wells Fargo, entered into a Second Amendment to Amended and Restated Credit Agreement (the “Second Amendment”). Through the Second Amendment, the parties agreed to amend the Amended and Restated Credit Agreement, dated as of May 23, 2018, as previously amended May 17, 2022 by and among SWI, as lead borrower, and Wells Fargo, as agent and a lender, and the other parties listed on the signature pages thereto (as amended, including by the Second Amendment, the “Revolving Line of Credit Agreement”) that governs the Company's revolving line of credit (the “Revolving Line of Credit”).</w:t>
      </w:r>
    </w:p>
    <w:p>
      <w:pPr>
        <w:spacing w:after="0" w:line="187"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The Company did not incur any additional fees related to the Revolving Line of Credit and will continue to amortize the prior recorded fees of $508 paid to various parties which were capitalized in association with the May 17, 2022 amendment. Fees associated with the Revolving Line of Credit were recorded in prepaid expenses and other assets.</w:t>
      </w:r>
    </w:p>
    <w:p>
      <w:pPr>
        <w:spacing w:after="0" w:line="176"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As of November 1, 2025 and February 1, 2025, the Company had $153,262 and $88,260, respectively, in outstanding revolving loans under the Revolving Line of Credit. Amounts outstanding are offset on the condensed consolidated balance sheets by amounts in depository accounts under lock-box type arrangements, which were $15,398 and $13,654 as of November 1, 2025 and February 1, 2025, respectively. As of November 1, 2025, the Company had $109,746 available for borrowing under the Revolving Line of Credit, calculated based upon certain borrowing base restrictions and stand-by commercial letters of credit of $2,607 under the terms of the Revolving Line of Credit.</w:t>
      </w:r>
    </w:p>
    <w:p>
      <w:pPr>
        <w:spacing w:after="0" w:line="18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Borrowings under the Revolving Line of Credit bear interest based on either the base rate or Term SOFR (as defined in the Revolving Line of Credit Agreement), at the Company’s option, in each case plus an applicable margin. The base rate is the greatest of (1) the floor rate (as defined in the Revolving Line of Credit Agreement as a rate of interest equal to 0.0%) (2) Wells Fargo’s prime rate, (3) the federal funds rate (as defined in the Revolving Line of Credit Agreement) plus 0.50% or (4) the one-month Term SOFR (as defined in the Revolving Line of Credit) plus 1.00%. The applicable margin for loans under the Revolving Line of Credit, which varies based on the average daily availability, ranges from 0.25% to 0.50% per year for base rate loans and from 1.35% to 1.60% per year for Term SOFR loans. The Company is required to pay a commitment fee for the unused portion of the Revolving Line of Credit, which will range from 0.20% to 0.225% per annum, depending on the average daily availability under the Revolving Line of Credit. The interest rate on the amounts outstanding under the Revolving Line of Credit as of November 1, 2025 and February 1, 2025 was 5.66% and 5.74%, respectively.</w:t>
      </w:r>
    </w:p>
    <w:p>
      <w:pPr>
        <w:spacing w:after="0" w:line="192"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Company may be required to make mandatory prepayments under the Revolving Line of Credit in the event of a disposition of certain property or assets, in the event of receipt of certain insurance or condemnation proceeds, upon the issuance of certain debt or equity securities, upon the incurrence of certain indebtedness for borrowed money or upon the receipt of certain payments not received in the ordinary course of business.</w:t>
      </w:r>
    </w:p>
    <w:p>
      <w:pPr>
        <w:spacing w:after="0" w:line="176"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 Revolving Line of Credit Agreement contains customary affirmative and negative covenants, including covenants that limit the Company’s ability to incur, create or assume certain indebtedness, to create, incur or assume certain liens, to make certain investments, to make sales, transfers and dispositions of certain property and to undergo certain fundamental changes, including certain mergers, liquidations and consolidations. The Revolving Line of Credit Agreement also requires the Company to maintain a minimum availability at all times under its Revolving Line of Credit of not less than the greater of $30,000 and 10% of the gross borrowing base as defined in</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the Revolving Line of Credit and contains customary events of default, including defaults triggered by defaults under the Term Loan. As of November 1, 2025, the Company held approximately $432,164 in collateralized eligible inventory and credit card receivables related to the Term Loan and the Revolving Line of Credit. The Revolving Line of Credit matures on May 27, 2027.</w:t>
      </w:r>
    </w:p>
    <w:p>
      <w:pPr>
        <w:spacing w:after="0" w:line="176" w:lineRule="exact"/>
        <w:rPr>
          <w:sz w:val="20"/>
          <w:szCs w:val="20"/>
          <w:color w:val="auto"/>
        </w:rPr>
      </w:pPr>
    </w:p>
    <w:p>
      <w:pPr>
        <w:ind w:right="340"/>
        <w:spacing w:after="0" w:line="258" w:lineRule="auto"/>
        <w:rPr>
          <w:sz w:val="20"/>
          <w:szCs w:val="20"/>
          <w:color w:val="auto"/>
        </w:rPr>
      </w:pPr>
      <w:r>
        <w:rPr>
          <w:rFonts w:ascii="Times New Roman" w:cs="Times New Roman" w:eastAsia="Times New Roman" w:hAnsi="Times New Roman"/>
          <w:sz w:val="18"/>
          <w:szCs w:val="18"/>
          <w:color w:val="auto"/>
        </w:rPr>
        <w:t>Each of the subsidiaries of Holdings is a borrower under the Revolving Line of Credit, and all obligations under the Revolving Line of Credit are guaranteed by Holdings. All of the obligations under the Revolving Line of Credit are secured by a lien on substantially all of Holdings’ tangible and intangible working capital assets and the tangible and intangible working capital assets of all of Holdings’ subsidiaries, including a pledge of all capital stock of each of Holdings’ subsidiaries. The lien securing the obligations under the Revolving Line of Credit is a first priority lien as to certain liquid assets, including cash, accounts receivable, deposit accounts and inventory.</w:t>
      </w:r>
    </w:p>
    <w:p>
      <w:pPr>
        <w:spacing w:after="0" w:line="183" w:lineRule="exact"/>
        <w:rPr>
          <w:sz w:val="20"/>
          <w:szCs w:val="20"/>
          <w:color w:val="auto"/>
        </w:rPr>
      </w:pPr>
    </w:p>
    <w:p>
      <w:pPr>
        <w:jc w:val="both"/>
        <w:ind w:right="220"/>
        <w:spacing w:after="0" w:line="261" w:lineRule="auto"/>
        <w:rPr>
          <w:sz w:val="20"/>
          <w:szCs w:val="20"/>
          <w:color w:val="auto"/>
        </w:rPr>
      </w:pPr>
      <w:r>
        <w:rPr>
          <w:rFonts w:ascii="Times New Roman" w:cs="Times New Roman" w:eastAsia="Times New Roman" w:hAnsi="Times New Roman"/>
          <w:sz w:val="18"/>
          <w:szCs w:val="18"/>
          <w:color w:val="auto"/>
        </w:rPr>
        <w:t>As of November 1, 2025 and February 1, 2025, the Company had $238 and $352, respectively, in outstanding deferred financing fees. During the 13 and 39 weeks ended November 1, 2025, the Company recognized $38 and $113, respectively, of non-cash interest expense with regard to the amortization of deferred financing fees. During the 13 and 39 weeks ended November 2, 2024, the Company recognized $38 and $113, respectively, of non-cash interest expense with regard to the amortization of deferred financing fees.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13 and 39 weeks ended November 1, 2025, gross borrowings under the Revolving Line of Credit were $351,862 and $1,043,274, respectively.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13 and 39 weeks ended November 2, 2024, gross borrowings under the Revolving Line of Credit were $355,522 and $970,999, respectively.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13 and 39 weeks ended November 1, 2025, gross paydowns under the Revolving Line of Credit were $368,667 and $985,749, respectively.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13 and 39 weeks ended November 2, 2024, gross paydowns under the Revolving Line of Credit were $357,050 and $969,226, respectively.</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Net Assets</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provisions of the Term Loan and the Revolving Line of Credit restrict all of the net assets of the Company’s consolidated subsidiaries, which constitute all of the net assets on the Company’s condensed consolidated balance sheet as of November 1, 2025, from being used to pay any dividends without prior written consent from the financial institutions party to the respective agreement.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Income Taxes</w:t>
      </w:r>
    </w:p>
    <w:p>
      <w:pPr>
        <w:spacing w:after="0" w:line="121"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During the 13 and 39 weeks ended November 1, 2025, the Company recognized income tax expense of $206 and income tax benefit of $1,027, respectively. During the 13 and 39 weeks ended November 2, 2024, the Company recognized income tax expense of $162 and income tax benefit of $7,364, respectively. The Company's effective tax rate during the 13 and 39 weeks ended November 1, 2025 was 96.3% and 3.5%, respectively. The Company’s effective tax rate during the 13 and 39 weeks ended November 2, 2024 was -80.2% and 23.2%, respectively. The Company’s effective tax rate will generally differ from the U.S. Federal statutory rate of 21.0%, due to state taxes, permanent items, and discrete items relating to stock award deductions.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Stockholders’ Equity</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Earnings per Share</w:t>
      </w:r>
    </w:p>
    <w:p>
      <w:pPr>
        <w:spacing w:after="0" w:line="119"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Basic earnings per share is calculated by dividing net income by the weighted-average number of shares of common stock outstanding during the period. Diluted earnings per share represents basic earnings per share adjusted to include the potentially dilutive effect of nonvested share awards and nonvested share unit awards.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earnings per share for the periods presented:</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0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80" w:type="dxa"/>
            <w:vAlign w:val="bottom"/>
            <w:gridSpan w:val="7"/>
          </w:tcPr>
          <w:p>
            <w:pPr>
              <w:ind w:left="52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140" w:type="dxa"/>
            <w:vAlign w:val="bottom"/>
          </w:tcPr>
          <w:p>
            <w:pPr>
              <w:spacing w:after="0"/>
              <w:rPr>
                <w:sz w:val="15"/>
                <w:szCs w:val="15"/>
                <w:color w:val="auto"/>
              </w:rPr>
            </w:pPr>
          </w:p>
        </w:tc>
        <w:tc>
          <w:tcPr>
            <w:tcW w:w="2660" w:type="dxa"/>
            <w:vAlign w:val="bottom"/>
            <w:gridSpan w:val="6"/>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Thirty-Nine Weeks Ended</w:t>
            </w:r>
          </w:p>
        </w:tc>
        <w:tc>
          <w:tcPr>
            <w:tcW w:w="0" w:type="dxa"/>
            <w:vAlign w:val="bottom"/>
          </w:tcPr>
          <w:p>
            <w:pPr>
              <w:spacing w:after="0"/>
              <w:rPr>
                <w:sz w:val="1"/>
                <w:szCs w:val="1"/>
                <w:color w:val="auto"/>
              </w:rPr>
            </w:pPr>
          </w:p>
        </w:tc>
      </w:tr>
      <w:tr>
        <w:trPr>
          <w:trHeight w:val="117"/>
        </w:trPr>
        <w:tc>
          <w:tcPr>
            <w:tcW w:w="50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tcPr>
          <w:p>
            <w:pPr>
              <w:jc w:val="right"/>
              <w:ind w:right="156"/>
              <w:spacing w:after="0" w:line="118" w:lineRule="exact"/>
              <w:rPr>
                <w:sz w:val="20"/>
                <w:szCs w:val="20"/>
                <w:color w:val="auto"/>
              </w:rPr>
            </w:pPr>
            <w:r>
              <w:rPr>
                <w:rFonts w:ascii="Times New Roman" w:cs="Times New Roman" w:eastAsia="Times New Roman" w:hAnsi="Times New Roman"/>
                <w:sz w:val="13"/>
                <w:szCs w:val="13"/>
                <w:b w:val="1"/>
                <w:bCs w:val="1"/>
                <w:color w:val="auto"/>
              </w:rPr>
              <w:t>November 1,</w:t>
            </w:r>
          </w:p>
        </w:tc>
        <w:tc>
          <w:tcPr>
            <w:tcW w:w="14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tcPr>
          <w:p>
            <w:pPr>
              <w:jc w:val="right"/>
              <w:ind w:right="155"/>
              <w:spacing w:after="0" w:line="118" w:lineRule="exact"/>
              <w:rPr>
                <w:sz w:val="20"/>
                <w:szCs w:val="20"/>
                <w:color w:val="auto"/>
              </w:rPr>
            </w:pPr>
            <w:r>
              <w:rPr>
                <w:rFonts w:ascii="Times New Roman" w:cs="Times New Roman" w:eastAsia="Times New Roman" w:hAnsi="Times New Roman"/>
                <w:sz w:val="13"/>
                <w:szCs w:val="13"/>
                <w:b w:val="1"/>
                <w:bCs w:val="1"/>
                <w:color w:val="auto"/>
              </w:rPr>
              <w:t>November 2,</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180" w:type="dxa"/>
            <w:vAlign w:val="bottom"/>
            <w:tcBorders>
              <w:top w:val="single" w:sz="8" w:color="auto"/>
            </w:tcBorders>
            <w:gridSpan w:val="2"/>
          </w:tcPr>
          <w:p>
            <w:pPr>
              <w:jc w:val="right"/>
              <w:ind w:right="320"/>
              <w:spacing w:after="0" w:line="118" w:lineRule="exact"/>
              <w:rPr>
                <w:sz w:val="20"/>
                <w:szCs w:val="20"/>
                <w:color w:val="auto"/>
              </w:rPr>
            </w:pPr>
            <w:r>
              <w:rPr>
                <w:rFonts w:ascii="Times New Roman" w:cs="Times New Roman" w:eastAsia="Times New Roman" w:hAnsi="Times New Roman"/>
                <w:sz w:val="13"/>
                <w:szCs w:val="13"/>
                <w:b w:val="1"/>
                <w:bCs w:val="1"/>
                <w:color w:val="auto"/>
              </w:rPr>
              <w:t>November 1,</w:t>
            </w:r>
          </w:p>
        </w:tc>
        <w:tc>
          <w:tcPr>
            <w:tcW w:w="14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tcPr>
          <w:p>
            <w:pPr>
              <w:jc w:val="right"/>
              <w:ind w:right="155"/>
              <w:spacing w:after="0" w:line="118" w:lineRule="exact"/>
              <w:rPr>
                <w:sz w:val="20"/>
                <w:szCs w:val="20"/>
                <w:color w:val="auto"/>
              </w:rPr>
            </w:pPr>
            <w:r>
              <w:rPr>
                <w:rFonts w:ascii="Times New Roman" w:cs="Times New Roman" w:eastAsia="Times New Roman" w:hAnsi="Times New Roman"/>
                <w:sz w:val="13"/>
                <w:szCs w:val="13"/>
                <w:b w:val="1"/>
                <w:bCs w:val="1"/>
                <w:color w:val="auto"/>
              </w:rPr>
              <w:t>November 2,</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50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9"/>
        </w:trPr>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4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44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(364)</w:t>
            </w:r>
          </w:p>
        </w:tc>
        <w:tc>
          <w:tcPr>
            <w:tcW w:w="14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(28,329)</w:t>
            </w:r>
          </w:p>
        </w:tc>
        <w:tc>
          <w:tcPr>
            <w:tcW w:w="3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(24,336)</w:t>
            </w:r>
          </w:p>
        </w:tc>
        <w:tc>
          <w:tcPr>
            <w:tcW w:w="0" w:type="dxa"/>
            <w:vAlign w:val="bottom"/>
          </w:tcPr>
          <w:p>
            <w:pPr>
              <w:spacing w:after="0"/>
              <w:rPr>
                <w:sz w:val="1"/>
                <w:szCs w:val="1"/>
                <w:color w:val="auto"/>
              </w:rPr>
            </w:pPr>
          </w:p>
        </w:tc>
      </w:tr>
      <w:tr>
        <w:trPr>
          <w:trHeight w:val="197"/>
        </w:trPr>
        <w:tc>
          <w:tcPr>
            <w:tcW w:w="508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color w:val="auto"/>
              </w:rPr>
              <w:t>Weighted average shares of common stock outstanding:</w:t>
            </w:r>
          </w:p>
        </w:tc>
        <w:tc>
          <w:tcPr>
            <w:tcW w:w="320" w:type="dxa"/>
            <w:vAlign w:val="bottom"/>
            <w:tcBorders>
              <w:top w:val="single" w:sz="8" w:color="CFF0FC"/>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Basic</w:t>
            </w:r>
          </w:p>
        </w:tc>
        <w:tc>
          <w:tcPr>
            <w:tcW w:w="3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38,457</w:t>
            </w: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37,869</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38,326</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37,729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Dilutive effect of common stock equivalents</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508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Diluted</w:t>
            </w:r>
          </w:p>
        </w:tc>
        <w:tc>
          <w:tcPr>
            <w:tcW w:w="3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top w:val="single" w:sz="8" w:color="auto"/>
              <w:bottom w:val="single" w:sz="8" w:color="auto"/>
            </w:tcBorders>
            <w:shd w:val="clear" w:color="auto" w:fill="CFF0FC"/>
          </w:tcPr>
          <w:p>
            <w:pPr>
              <w:spacing w:after="0"/>
              <w:rPr>
                <w:sz w:val="21"/>
                <w:szCs w:val="21"/>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39,155</w:t>
            </w:r>
          </w:p>
        </w:tc>
        <w:tc>
          <w:tcPr>
            <w:tcW w:w="14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60" w:type="dxa"/>
            <w:vAlign w:val="bottom"/>
            <w:tcBorders>
              <w:top w:val="single" w:sz="8" w:color="auto"/>
              <w:bottom w:val="single" w:sz="8" w:color="auto"/>
            </w:tcBorders>
            <w:shd w:val="clear" w:color="auto" w:fill="CFF0FC"/>
          </w:tcPr>
          <w:p>
            <w:pPr>
              <w:spacing w:after="0"/>
              <w:rPr>
                <w:sz w:val="21"/>
                <w:szCs w:val="21"/>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37,869</w:t>
            </w:r>
          </w:p>
        </w:tc>
        <w:tc>
          <w:tcPr>
            <w:tcW w:w="1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40" w:type="dxa"/>
            <w:vAlign w:val="bottom"/>
            <w:tcBorders>
              <w:top w:val="single" w:sz="8" w:color="auto"/>
              <w:bottom w:val="single" w:sz="8" w:color="auto"/>
            </w:tcBorders>
            <w:shd w:val="clear" w:color="auto" w:fill="CFF0FC"/>
          </w:tcPr>
          <w:p>
            <w:pPr>
              <w:spacing w:after="0"/>
              <w:rPr>
                <w:sz w:val="21"/>
                <w:szCs w:val="21"/>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38,326</w:t>
            </w: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60" w:type="dxa"/>
            <w:vAlign w:val="bottom"/>
            <w:tcBorders>
              <w:top w:val="single" w:sz="8" w:color="auto"/>
              <w:bottom w:val="single" w:sz="8" w:color="auto"/>
            </w:tcBorders>
            <w:shd w:val="clear" w:color="auto" w:fill="CFF0FC"/>
          </w:tcPr>
          <w:p>
            <w:pPr>
              <w:spacing w:after="0"/>
              <w:rPr>
                <w:sz w:val="21"/>
                <w:szCs w:val="21"/>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37,729</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50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Basic earnings (loss) per share</w:t>
            </w:r>
          </w:p>
        </w:tc>
        <w:tc>
          <w:tcPr>
            <w:tcW w:w="480" w:type="dxa"/>
            <w:vAlign w:val="bottom"/>
            <w:gridSpan w:val="2"/>
          </w:tcPr>
          <w:p>
            <w:pPr>
              <w:jc w:val="right"/>
              <w:ind w:right="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0.00</w:t>
            </w:r>
          </w:p>
        </w:tc>
        <w:tc>
          <w:tcPr>
            <w:tcW w:w="440" w:type="dxa"/>
            <w:vAlign w:val="bottom"/>
            <w:gridSpan w:val="3"/>
          </w:tcPr>
          <w:p>
            <w:pPr>
              <w:jc w:val="right"/>
              <w:ind w:right="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60"/>
              <w:spacing w:after="0" w:line="196" w:lineRule="exact"/>
              <w:rPr>
                <w:sz w:val="20"/>
                <w:szCs w:val="20"/>
                <w:color w:val="auto"/>
              </w:rPr>
            </w:pPr>
            <w:r>
              <w:rPr>
                <w:rFonts w:ascii="Times New Roman" w:cs="Times New Roman" w:eastAsia="Times New Roman" w:hAnsi="Times New Roman"/>
                <w:sz w:val="18"/>
                <w:szCs w:val="18"/>
                <w:color w:val="auto"/>
              </w:rPr>
              <w:t>(0.01)</w:t>
            </w:r>
          </w:p>
        </w:tc>
        <w:tc>
          <w:tcPr>
            <w:tcW w:w="14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(0.74)</w:t>
            </w:r>
          </w:p>
        </w:tc>
        <w:tc>
          <w:tcPr>
            <w:tcW w:w="300" w:type="dxa"/>
            <w:vAlign w:val="bottom"/>
            <w:gridSpan w:val="2"/>
          </w:tcPr>
          <w:p>
            <w:pPr>
              <w:jc w:val="right"/>
              <w:ind w:right="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(0.65)</w:t>
            </w: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08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Diluted earnings (loss) per share</w:t>
            </w:r>
          </w:p>
        </w:tc>
        <w:tc>
          <w:tcPr>
            <w:tcW w:w="480" w:type="dxa"/>
            <w:vAlign w:val="bottom"/>
            <w:gridSpan w:val="2"/>
            <w:shd w:val="clear" w:color="auto" w:fill="CFF0FC"/>
          </w:tcPr>
          <w:p>
            <w:pPr>
              <w:jc w:val="right"/>
              <w:ind w:right="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0.00</w:t>
            </w:r>
          </w:p>
        </w:tc>
        <w:tc>
          <w:tcPr>
            <w:tcW w:w="440" w:type="dxa"/>
            <w:vAlign w:val="bottom"/>
            <w:gridSpan w:val="3"/>
            <w:shd w:val="clear" w:color="auto" w:fill="CFF0FC"/>
          </w:tcPr>
          <w:p>
            <w:pPr>
              <w:jc w:val="right"/>
              <w:ind w:right="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ind w:right="60"/>
              <w:spacing w:after="0" w:line="196" w:lineRule="exact"/>
              <w:rPr>
                <w:sz w:val="20"/>
                <w:szCs w:val="20"/>
                <w:color w:val="auto"/>
              </w:rPr>
            </w:pPr>
            <w:r>
              <w:rPr>
                <w:rFonts w:ascii="Times New Roman" w:cs="Times New Roman" w:eastAsia="Times New Roman" w:hAnsi="Times New Roman"/>
                <w:sz w:val="18"/>
                <w:szCs w:val="18"/>
                <w:color w:val="auto"/>
              </w:rPr>
              <w:t>(0.01)</w:t>
            </w:r>
          </w:p>
        </w:tc>
        <w:tc>
          <w:tcPr>
            <w:tcW w:w="14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FF0FC"/>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(0.74)</w:t>
            </w:r>
          </w:p>
        </w:tc>
        <w:tc>
          <w:tcPr>
            <w:tcW w:w="300" w:type="dxa"/>
            <w:vAlign w:val="bottom"/>
            <w:gridSpan w:val="2"/>
            <w:shd w:val="clear" w:color="auto" w:fill="CFF0FC"/>
          </w:tcPr>
          <w:p>
            <w:pPr>
              <w:jc w:val="right"/>
              <w:ind w:right="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FF0FC"/>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(0.65)</w:t>
            </w:r>
          </w:p>
        </w:tc>
        <w:tc>
          <w:tcPr>
            <w:tcW w:w="0" w:type="dxa"/>
            <w:vAlign w:val="bottom"/>
          </w:tcPr>
          <w:p>
            <w:pPr>
              <w:spacing w:after="0"/>
              <w:rPr>
                <w:sz w:val="1"/>
                <w:szCs w:val="1"/>
                <w:color w:val="auto"/>
              </w:rPr>
            </w:pPr>
          </w:p>
        </w:tc>
      </w:tr>
      <w:tr>
        <w:trPr>
          <w:trHeight w:val="178"/>
        </w:trPr>
        <w:tc>
          <w:tcPr>
            <w:tcW w:w="5080" w:type="dxa"/>
            <w:vAlign w:val="bottom"/>
            <w:tcBorders>
              <w:top w:val="single" w:sz="8" w:color="CFF0FC"/>
            </w:tcBorders>
          </w:tcPr>
          <w:p>
            <w:pPr>
              <w:spacing w:after="0" w:line="178" w:lineRule="exact"/>
              <w:rPr>
                <w:sz w:val="20"/>
                <w:szCs w:val="20"/>
                <w:color w:val="auto"/>
              </w:rPr>
            </w:pPr>
            <w:r>
              <w:rPr>
                <w:rFonts w:ascii="Times New Roman" w:cs="Times New Roman" w:eastAsia="Times New Roman" w:hAnsi="Times New Roman"/>
                <w:sz w:val="18"/>
                <w:szCs w:val="18"/>
                <w:color w:val="auto"/>
              </w:rPr>
              <w:t>Restricted stock units considered anti-dilutive and excluded in the</w:t>
            </w:r>
          </w:p>
        </w:tc>
        <w:tc>
          <w:tcPr>
            <w:tcW w:w="320" w:type="dxa"/>
            <w:vAlign w:val="bottom"/>
            <w:tcBorders>
              <w:top w:val="single" w:sz="8" w:color="CFF0FC"/>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40" w:type="dxa"/>
            <w:vAlign w:val="bottom"/>
            <w:tcBorders>
              <w:top w:val="single" w:sz="8" w:color="CFF0FC"/>
            </w:tcBorders>
          </w:tcPr>
          <w:p>
            <w:pPr>
              <w:spacing w:after="0"/>
              <w:rPr>
                <w:sz w:val="15"/>
                <w:szCs w:val="15"/>
                <w:color w:val="auto"/>
              </w:rPr>
            </w:pPr>
          </w:p>
        </w:tc>
        <w:tc>
          <w:tcPr>
            <w:tcW w:w="140" w:type="dxa"/>
            <w:vAlign w:val="bottom"/>
            <w:tcBorders>
              <w:top w:val="single" w:sz="8" w:color="CFF0FC"/>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685</w:t>
            </w:r>
          </w:p>
        </w:tc>
        <w:tc>
          <w:tcPr>
            <w:tcW w:w="120" w:type="dxa"/>
            <w:vAlign w:val="bottom"/>
            <w:tcBorders>
              <w:top w:val="single" w:sz="8" w:color="CFF0FC"/>
            </w:tcBorders>
          </w:tcPr>
          <w:p>
            <w:pPr>
              <w:spacing w:after="0"/>
              <w:rPr>
                <w:sz w:val="15"/>
                <w:szCs w:val="15"/>
                <w:color w:val="auto"/>
              </w:rPr>
            </w:pPr>
          </w:p>
        </w:tc>
        <w:tc>
          <w:tcPr>
            <w:tcW w:w="140" w:type="dxa"/>
            <w:vAlign w:val="bottom"/>
            <w:tcBorders>
              <w:top w:val="single" w:sz="8" w:color="CFF0FC"/>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100" w:type="dxa"/>
            <w:vAlign w:val="bottom"/>
            <w:tcBorders>
              <w:top w:val="single" w:sz="8" w:color="CFF0FC"/>
            </w:tcBorders>
          </w:tcPr>
          <w:p>
            <w:pPr>
              <w:spacing w:after="0"/>
              <w:rPr>
                <w:sz w:val="15"/>
                <w:szCs w:val="15"/>
                <w:color w:val="auto"/>
              </w:rPr>
            </w:pPr>
          </w:p>
        </w:tc>
        <w:tc>
          <w:tcPr>
            <w:tcW w:w="140" w:type="dxa"/>
            <w:vAlign w:val="bottom"/>
            <w:tcBorders>
              <w:top w:val="single" w:sz="8" w:color="CFF0FC"/>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665</w:t>
            </w:r>
          </w:p>
        </w:tc>
        <w:tc>
          <w:tcPr>
            <w:tcW w:w="100" w:type="dxa"/>
            <w:vAlign w:val="bottom"/>
            <w:tcBorders>
              <w:top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508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calculation</w:t>
            </w:r>
          </w:p>
        </w:tc>
        <w:tc>
          <w:tcPr>
            <w:tcW w:w="3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4222750</wp:posOffset>
            </wp:positionH>
            <wp:positionV relativeFrom="paragraph">
              <wp:posOffset>-1207770</wp:posOffset>
            </wp:positionV>
            <wp:extent cx="76835"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-1190625</wp:posOffset>
            </wp:positionV>
            <wp:extent cx="7683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-1207770</wp:posOffset>
            </wp:positionV>
            <wp:extent cx="7683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-1190625</wp:posOffset>
            </wp:positionV>
            <wp:extent cx="7683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-1207770</wp:posOffset>
            </wp:positionV>
            <wp:extent cx="6858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-1190625</wp:posOffset>
            </wp:positionV>
            <wp:extent cx="6858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-1207770</wp:posOffset>
            </wp:positionV>
            <wp:extent cx="6858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-1190625</wp:posOffset>
            </wp:positionV>
            <wp:extent cx="6858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-624840</wp:posOffset>
            </wp:positionV>
            <wp:extent cx="76835"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-607695</wp:posOffset>
            </wp:positionV>
            <wp:extent cx="76835"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-624840</wp:posOffset>
            </wp:positionV>
            <wp:extent cx="76835"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-607695</wp:posOffset>
            </wp:positionV>
            <wp:extent cx="76835"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-624840</wp:posOffset>
            </wp:positionV>
            <wp:extent cx="6858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-607695</wp:posOffset>
            </wp:positionV>
            <wp:extent cx="6858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-624840</wp:posOffset>
            </wp:positionV>
            <wp:extent cx="6858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-607695</wp:posOffset>
            </wp:positionV>
            <wp:extent cx="6858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-299720</wp:posOffset>
            </wp:positionV>
            <wp:extent cx="76835"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-281940</wp:posOffset>
            </wp:positionV>
            <wp:extent cx="76835"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-299720</wp:posOffset>
            </wp:positionV>
            <wp:extent cx="76835"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-281940</wp:posOffset>
            </wp:positionV>
            <wp:extent cx="76835"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-299720</wp:posOffset>
            </wp:positionV>
            <wp:extent cx="6858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-281940</wp:posOffset>
            </wp:positionV>
            <wp:extent cx="6858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-299720</wp:posOffset>
            </wp:positionV>
            <wp:extent cx="6858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-281940</wp:posOffset>
            </wp:positionV>
            <wp:extent cx="6858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ind w:right="8780" w:firstLine="8"/>
        <w:spacing w:after="0" w:line="378" w:lineRule="auto"/>
        <w:tabs>
          <w:tab w:leader="none" w:pos="345"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Stock-Based Compensation Stock-Based Compensation</w:t>
      </w:r>
    </w:p>
    <w:p>
      <w:pPr>
        <w:spacing w:after="0" w:line="261" w:lineRule="auto"/>
        <w:rPr>
          <w:sz w:val="20"/>
          <w:szCs w:val="20"/>
          <w:color w:val="auto"/>
        </w:rPr>
      </w:pPr>
      <w:r>
        <w:rPr>
          <w:rFonts w:ascii="Times New Roman" w:cs="Times New Roman" w:eastAsia="Times New Roman" w:hAnsi="Times New Roman"/>
          <w:sz w:val="18"/>
          <w:szCs w:val="18"/>
          <w:color w:val="auto"/>
        </w:rPr>
        <w:t>During the 13 and 39 weeks ended November 1, 2025, the Company recognized total stock-based compensation expense of $780 and $2,400, respectively. During the 13 and 39 weeks ended November 2, 2024, the Company recognized total stock-based compensation expense of $1,047 and $3,438, respectively. Compensation expense related to the Company’s stock-based payment awards is recognized in selling, general, and administrative expenses in the condensed consolidated statements of operations.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 Stock Plan</w:t>
      </w:r>
    </w:p>
    <w:p>
      <w:pPr>
        <w:spacing w:after="0" w:line="121"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As of November 1, 2025, the number of shares available for awards under the Amended and Restated 2019 Performance Incentive Plan (as amended and restated, the “Amended 2019 Plan”) was 1,649. As of November 1, 2025, there were 2,149 unvested stock awards outstanding under the 2019 Plan.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 Stock Purchase Plan</w:t>
      </w:r>
    </w:p>
    <w:p>
      <w:pPr>
        <w:spacing w:after="0" w:line="121"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The Company also maintains an Amended and Restated Employee Stock Purchase Plan (the “ESPP”) that was approved by the Company’s stockholders in fiscal year 2015, under which 1,600 shares of common stock were authorized. During the 13 weeks ended November 1, 2025, no shares were issued under the ESPP and, as of November 1, 2025, the number of shares available for issuance was 728.</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Nonvested Performance-Based Stock Awards</w:t>
      </w:r>
    </w:p>
    <w:p>
      <w:pPr>
        <w:spacing w:after="0" w:line="121"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During the 13 and 39 weeks ended November 1, 2025, the Company issued 125 nonvested performance-based stock awards to employees at a weighted average grant date fair value of $2.84 and $2.84 per share, respectively.</w:t>
      </w:r>
    </w:p>
    <w:p>
      <w:pPr>
        <w:spacing w:after="0" w:line="162" w:lineRule="exact"/>
        <w:rPr>
          <w:sz w:val="20"/>
          <w:szCs w:val="20"/>
          <w:color w:val="auto"/>
        </w:rPr>
      </w:pPr>
    </w:p>
    <w:p>
      <w:pPr>
        <w:jc w:val="both"/>
        <w:ind w:right="220"/>
        <w:spacing w:after="0" w:line="256" w:lineRule="auto"/>
        <w:rPr>
          <w:sz w:val="20"/>
          <w:szCs w:val="20"/>
          <w:color w:val="auto"/>
        </w:rPr>
      </w:pPr>
      <w:r>
        <w:rPr>
          <w:rFonts w:ascii="Times New Roman" w:cs="Times New Roman" w:eastAsia="Times New Roman" w:hAnsi="Times New Roman"/>
          <w:sz w:val="18"/>
          <w:szCs w:val="18"/>
          <w:color w:val="auto"/>
        </w:rPr>
        <w:t>During the 13 weeks ended November 2, 2024, the Company did not issue any nonvested performance-based stock awards to employees. During the 39 weeks ended November 2, 2024, the Company issued 874 nonvested performance-based stock awards to employees at a weighted average grant date fair value of $3.09 per share. The nonvested performance-based stock awards issued to employees vest in full on the third anniversary of the grant date. The number of shares issued was contingent on management achieving a fiscal year 2024 performance target for earnings before interest, taxes, depreciation and amortization expenses. If a minimum threshold performance target is not achieved, no shares would vest. The maximum number of shares subject to the award was 874.</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Following the end of the performance period for fiscal year 2024, the fiscal year performance targets were not met and all shares were forfeited as of February 1, 2025.</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rollforward of outstanding nonvested performance-based stock awards (per share amounts are not in thousands):</w:t>
      </w: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3"/>
                <w:szCs w:val="13"/>
                <w:color w:val="auto"/>
              </w:rPr>
            </w:pPr>
          </w:p>
        </w:tc>
        <w:tc>
          <w:tcPr>
            <w:tcW w:w="30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70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700" w:type="dxa"/>
            <w:vAlign w:val="bottom"/>
          </w:tcPr>
          <w:p>
            <w:pPr>
              <w:spacing w:after="0"/>
              <w:rPr>
                <w:sz w:val="12"/>
                <w:szCs w:val="12"/>
                <w:color w:val="auto"/>
              </w:rPr>
            </w:pPr>
          </w:p>
        </w:tc>
        <w:tc>
          <w:tcPr>
            <w:tcW w:w="3020" w:type="dxa"/>
            <w:vAlign w:val="bottom"/>
            <w:vMerge w:val="restart"/>
          </w:tcPr>
          <w:p>
            <w:pPr>
              <w:ind w:left="13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460" w:type="dxa"/>
            <w:vAlign w:val="bottom"/>
            <w:vMerge w:val="restart"/>
          </w:tcPr>
          <w:p>
            <w:pPr>
              <w:spacing w:after="0"/>
              <w:rPr>
                <w:sz w:val="12"/>
                <w:szCs w:val="12"/>
                <w:color w:val="auto"/>
              </w:rPr>
            </w:pPr>
          </w:p>
        </w:tc>
        <w:tc>
          <w:tcPr>
            <w:tcW w:w="6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grant-date</w:t>
            </w: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700" w:type="dxa"/>
            <w:vAlign w:val="bottom"/>
          </w:tcPr>
          <w:p>
            <w:pPr>
              <w:spacing w:after="0"/>
              <w:rPr>
                <w:sz w:val="15"/>
                <w:szCs w:val="15"/>
                <w:color w:val="auto"/>
              </w:rPr>
            </w:pPr>
          </w:p>
        </w:tc>
        <w:tc>
          <w:tcPr>
            <w:tcW w:w="3020" w:type="dxa"/>
            <w:vAlign w:val="bottom"/>
            <w:tcBorders>
              <w:bottom w:val="single" w:sz="8" w:color="auto"/>
            </w:tcBorders>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1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February 1, 2025</w:t>
            </w:r>
          </w:p>
        </w:tc>
        <w:tc>
          <w:tcPr>
            <w:tcW w:w="3480" w:type="dxa"/>
            <w:vAlign w:val="bottom"/>
            <w:gridSpan w:val="2"/>
            <w:shd w:val="clear" w:color="auto" w:fill="CFF0FC"/>
          </w:tcPr>
          <w:p>
            <w:pPr>
              <w:jc w:val="right"/>
              <w:ind w:right="440"/>
              <w:spacing w:after="0"/>
              <w:rPr>
                <w:sz w:val="20"/>
                <w:szCs w:val="20"/>
                <w:color w:val="auto"/>
              </w:rPr>
            </w:pPr>
            <w:r>
              <w:rPr>
                <w:rFonts w:ascii="Times New Roman" w:cs="Times New Roman" w:eastAsia="Times New Roman" w:hAnsi="Times New Roman"/>
                <w:sz w:val="18"/>
                <w:szCs w:val="18"/>
                <w:color w:val="auto"/>
              </w:rPr>
              <w:t>12</w:t>
            </w:r>
          </w:p>
        </w:tc>
        <w:tc>
          <w:tcPr>
            <w:tcW w:w="660" w:type="dxa"/>
            <w:vAlign w:val="bottom"/>
            <w:shd w:val="clear" w:color="auto" w:fill="CFF0FC"/>
          </w:tcPr>
          <w:p>
            <w:pPr>
              <w:jc w:val="right"/>
              <w:ind w:right="476"/>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right w:val="single" w:sz="8" w:color="CFF0FC"/>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8.40</w:t>
            </w: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Grants</w:t>
            </w:r>
          </w:p>
        </w:tc>
        <w:tc>
          <w:tcPr>
            <w:tcW w:w="34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125</w:t>
            </w:r>
          </w:p>
        </w:tc>
        <w:tc>
          <w:tcPr>
            <w:tcW w:w="6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2.84</w:t>
            </w:r>
          </w:p>
        </w:tc>
        <w:tc>
          <w:tcPr>
            <w:tcW w:w="0" w:type="dxa"/>
            <w:vAlign w:val="bottom"/>
          </w:tcPr>
          <w:p>
            <w:pPr>
              <w:spacing w:after="0"/>
              <w:rPr>
                <w:sz w:val="1"/>
                <w:szCs w:val="1"/>
                <w:color w:val="auto"/>
              </w:rPr>
            </w:pPr>
          </w:p>
        </w:tc>
      </w:tr>
      <w:tr>
        <w:trPr>
          <w:trHeight w:val="216"/>
        </w:trPr>
        <w:tc>
          <w:tcPr>
            <w:tcW w:w="4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Forfeitures</w:t>
            </w:r>
          </w:p>
        </w:tc>
        <w:tc>
          <w:tcPr>
            <w:tcW w:w="348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8"/>
                <w:szCs w:val="18"/>
                <w:color w:val="auto"/>
              </w:rPr>
              <w:t>(12)</w:t>
            </w:r>
          </w:p>
        </w:tc>
        <w:tc>
          <w:tcPr>
            <w:tcW w:w="660" w:type="dxa"/>
            <w:vAlign w:val="bottom"/>
            <w:shd w:val="clear" w:color="auto" w:fill="CFF0FC"/>
          </w:tcPr>
          <w:p>
            <w:pPr>
              <w:spacing w:after="0"/>
              <w:rPr>
                <w:sz w:val="18"/>
                <w:szCs w:val="18"/>
                <w:color w:val="auto"/>
              </w:rPr>
            </w:pPr>
          </w:p>
        </w:tc>
        <w:tc>
          <w:tcPr>
            <w:tcW w:w="480" w:type="dxa"/>
            <w:vAlign w:val="bottom"/>
            <w:tcBorders>
              <w:right w:val="single" w:sz="8" w:color="CFF0FC"/>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8.40</w:t>
            </w: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Vested</w:t>
            </w:r>
          </w:p>
        </w:tc>
        <w:tc>
          <w:tcPr>
            <w:tcW w:w="34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3020" w:type="dxa"/>
            <w:vAlign w:val="bottom"/>
            <w:tcBorders>
              <w:right w:val="single" w:sz="8" w:color="auto"/>
            </w:tcBorders>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8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4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November 1, 2025</w:t>
            </w:r>
          </w:p>
        </w:tc>
        <w:tc>
          <w:tcPr>
            <w:tcW w:w="3480" w:type="dxa"/>
            <w:vAlign w:val="bottom"/>
            <w:gridSpan w:val="2"/>
            <w:shd w:val="clear" w:color="auto" w:fill="CFF0FC"/>
          </w:tcPr>
          <w:p>
            <w:pPr>
              <w:jc w:val="right"/>
              <w:ind w:right="440"/>
              <w:spacing w:after="0"/>
              <w:rPr>
                <w:sz w:val="20"/>
                <w:szCs w:val="20"/>
                <w:color w:val="auto"/>
              </w:rPr>
            </w:pPr>
            <w:r>
              <w:rPr>
                <w:rFonts w:ascii="Times New Roman" w:cs="Times New Roman" w:eastAsia="Times New Roman" w:hAnsi="Times New Roman"/>
                <w:sz w:val="18"/>
                <w:szCs w:val="18"/>
                <w:color w:val="auto"/>
              </w:rPr>
              <w:t>125</w:t>
            </w:r>
          </w:p>
        </w:tc>
        <w:tc>
          <w:tcPr>
            <w:tcW w:w="660" w:type="dxa"/>
            <w:vAlign w:val="bottom"/>
            <w:shd w:val="clear" w:color="auto" w:fill="CFF0FC"/>
          </w:tcPr>
          <w:p>
            <w:pPr>
              <w:jc w:val="right"/>
              <w:ind w:right="476"/>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right w:val="single" w:sz="8" w:color="CFF0FC"/>
            </w:tcBorders>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2.84</w:t>
            </w:r>
          </w:p>
        </w:tc>
        <w:tc>
          <w:tcPr>
            <w:tcW w:w="0" w:type="dxa"/>
            <w:vAlign w:val="bottom"/>
          </w:tcPr>
          <w:p>
            <w:pPr>
              <w:spacing w:after="0"/>
              <w:rPr>
                <w:sz w:val="1"/>
                <w:szCs w:val="1"/>
                <w:color w:val="auto"/>
              </w:rPr>
            </w:pPr>
          </w:p>
        </w:tc>
      </w:tr>
      <w:tr>
        <w:trPr>
          <w:trHeight w:val="320"/>
        </w:trPr>
        <w:tc>
          <w:tcPr>
            <w:tcW w:w="4700" w:type="dxa"/>
            <w:vAlign w:val="bottom"/>
            <w:tcBorders>
              <w:top w:val="single" w:sz="8" w:color="CFF0FC"/>
            </w:tcBorders>
          </w:tcPr>
          <w:p>
            <w:pPr>
              <w:spacing w:after="0"/>
              <w:rPr>
                <w:sz w:val="24"/>
                <w:szCs w:val="24"/>
                <w:color w:val="auto"/>
              </w:rPr>
            </w:pPr>
          </w:p>
        </w:tc>
        <w:tc>
          <w:tcPr>
            <w:tcW w:w="3020" w:type="dxa"/>
            <w:vAlign w:val="bottom"/>
            <w:tcBorders>
              <w:top w:val="single" w:sz="8" w:color="auto"/>
            </w:tcBorders>
          </w:tcPr>
          <w:p>
            <w:pPr>
              <w:spacing w:after="0"/>
              <w:rPr>
                <w:sz w:val="24"/>
                <w:szCs w:val="24"/>
                <w:color w:val="auto"/>
              </w:rPr>
            </w:pPr>
          </w:p>
        </w:tc>
        <w:tc>
          <w:tcPr>
            <w:tcW w:w="460" w:type="dxa"/>
            <w:vAlign w:val="bottom"/>
            <w:tcBorders>
              <w:top w:val="single" w:sz="8" w:color="CFF0FC"/>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jc w:val="center"/>
              <w:ind w:right="335"/>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0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470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40" w:type="dxa"/>
            <w:vAlign w:val="bottom"/>
            <w:gridSpan w:val="2"/>
          </w:tcPr>
          <w:p>
            <w:pPr>
              <w:jc w:val="center"/>
              <w:ind w:right="52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470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60" w:type="dxa"/>
            <w:vAlign w:val="bottom"/>
            <w:vMerge w:val="restart"/>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40" w:type="dxa"/>
            <w:vAlign w:val="bottom"/>
            <w:gridSpan w:val="2"/>
          </w:tcPr>
          <w:p>
            <w:pPr>
              <w:jc w:val="center"/>
              <w:ind w:right="520"/>
              <w:spacing w:after="0" w:line="149" w:lineRule="exact"/>
              <w:rPr>
                <w:sz w:val="20"/>
                <w:szCs w:val="20"/>
                <w:color w:val="auto"/>
              </w:rPr>
            </w:pPr>
            <w:r>
              <w:rPr>
                <w:rFonts w:ascii="Times New Roman" w:cs="Times New Roman" w:eastAsia="Times New Roman" w:hAnsi="Times New Roman"/>
                <w:sz w:val="14"/>
                <w:szCs w:val="14"/>
                <w:b w:val="1"/>
                <w:bCs w:val="1"/>
                <w:color w:val="auto"/>
              </w:rPr>
              <w:t>grant-date</w:t>
            </w:r>
          </w:p>
        </w:tc>
        <w:tc>
          <w:tcPr>
            <w:tcW w:w="0" w:type="dxa"/>
            <w:vAlign w:val="bottom"/>
          </w:tcPr>
          <w:p>
            <w:pPr>
              <w:spacing w:after="0"/>
              <w:rPr>
                <w:sz w:val="1"/>
                <w:szCs w:val="1"/>
                <w:color w:val="auto"/>
              </w:rPr>
            </w:pPr>
          </w:p>
        </w:tc>
      </w:tr>
      <w:tr>
        <w:trPr>
          <w:trHeight w:val="173"/>
        </w:trPr>
        <w:tc>
          <w:tcPr>
            <w:tcW w:w="4700" w:type="dxa"/>
            <w:vAlign w:val="bottom"/>
          </w:tcPr>
          <w:p>
            <w:pPr>
              <w:spacing w:after="0"/>
              <w:rPr>
                <w:sz w:val="15"/>
                <w:szCs w:val="15"/>
                <w:color w:val="auto"/>
              </w:rPr>
            </w:pPr>
          </w:p>
        </w:tc>
        <w:tc>
          <w:tcPr>
            <w:tcW w:w="302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vMerge w:val="continue"/>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355"/>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February 3, 2024</w:t>
            </w:r>
          </w:p>
        </w:tc>
        <w:tc>
          <w:tcPr>
            <w:tcW w:w="3020" w:type="dxa"/>
            <w:vAlign w:val="bottom"/>
            <w:tcBorders>
              <w:right w:val="single" w:sz="8" w:color="CFF0FC"/>
            </w:tcBorders>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4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68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9.03</w:t>
            </w: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Grants</w:t>
            </w:r>
          </w:p>
        </w:tc>
        <w:tc>
          <w:tcPr>
            <w:tcW w:w="30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874</w:t>
            </w: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3.09</w:t>
            </w:r>
          </w:p>
        </w:tc>
        <w:tc>
          <w:tcPr>
            <w:tcW w:w="0" w:type="dxa"/>
            <w:vAlign w:val="bottom"/>
          </w:tcPr>
          <w:p>
            <w:pPr>
              <w:spacing w:after="0"/>
              <w:rPr>
                <w:sz w:val="1"/>
                <w:szCs w:val="1"/>
                <w:color w:val="auto"/>
              </w:rPr>
            </w:pPr>
          </w:p>
        </w:tc>
      </w:tr>
      <w:tr>
        <w:trPr>
          <w:trHeight w:val="216"/>
        </w:trPr>
        <w:tc>
          <w:tcPr>
            <w:tcW w:w="4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Forfeitures</w:t>
            </w:r>
          </w:p>
        </w:tc>
        <w:tc>
          <w:tcPr>
            <w:tcW w:w="3020" w:type="dxa"/>
            <w:vAlign w:val="bottom"/>
            <w:tcBorders>
              <w:right w:val="single" w:sz="8" w:color="CFF0FC"/>
            </w:tcBorders>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142"/>
              <w:spacing w:after="0"/>
              <w:rPr>
                <w:sz w:val="20"/>
                <w:szCs w:val="20"/>
                <w:color w:val="auto"/>
              </w:rPr>
            </w:pPr>
            <w:r>
              <w:rPr>
                <w:rFonts w:ascii="Times New Roman" w:cs="Times New Roman" w:eastAsia="Times New Roman" w:hAnsi="Times New Roman"/>
                <w:sz w:val="18"/>
                <w:szCs w:val="18"/>
                <w:color w:val="auto"/>
              </w:rPr>
              <w:t>(121)</w:t>
            </w:r>
          </w:p>
        </w:tc>
        <w:tc>
          <w:tcPr>
            <w:tcW w:w="42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3.09</w:t>
            </w: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Vested</w:t>
            </w:r>
          </w:p>
        </w:tc>
        <w:tc>
          <w:tcPr>
            <w:tcW w:w="302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November 2, 2024</w:t>
            </w:r>
          </w:p>
        </w:tc>
        <w:tc>
          <w:tcPr>
            <w:tcW w:w="3020" w:type="dxa"/>
            <w:vAlign w:val="bottom"/>
            <w:tcBorders>
              <w:right w:val="single" w:sz="8" w:color="CFF0FC"/>
            </w:tcBorders>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4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783</w:t>
            </w:r>
          </w:p>
        </w:tc>
        <w:tc>
          <w:tcPr>
            <w:tcW w:w="68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3.32</w:t>
            </w:r>
          </w:p>
        </w:tc>
        <w:tc>
          <w:tcPr>
            <w:tcW w:w="0" w:type="dxa"/>
            <w:vAlign w:val="bottom"/>
          </w:tcPr>
          <w:p>
            <w:pPr>
              <w:spacing w:after="0"/>
              <w:rPr>
                <w:sz w:val="1"/>
                <w:szCs w:val="1"/>
                <w:color w:val="auto"/>
              </w:rPr>
            </w:pPr>
          </w:p>
        </w:tc>
      </w:tr>
      <w:tr>
        <w:trPr>
          <w:trHeight w:val="20"/>
        </w:trPr>
        <w:tc>
          <w:tcPr>
            <w:tcW w:w="4700" w:type="dxa"/>
            <w:vAlign w:val="bottom"/>
            <w:tcBorders>
              <w:top w:val="single" w:sz="8" w:color="CFF0FC"/>
            </w:tcBorders>
            <w:shd w:val="clear" w:color="auto" w:fill="CFF0FC"/>
          </w:tcPr>
          <w:p>
            <w:pPr>
              <w:spacing w:after="0" w:line="20" w:lineRule="exact"/>
              <w:rPr>
                <w:sz w:val="1"/>
                <w:szCs w:val="1"/>
                <w:color w:val="auto"/>
              </w:rPr>
            </w:pPr>
          </w:p>
        </w:tc>
        <w:tc>
          <w:tcPr>
            <w:tcW w:w="302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4908550</wp:posOffset>
            </wp:positionH>
            <wp:positionV relativeFrom="paragraph">
              <wp:posOffset>-1268095</wp:posOffset>
            </wp:positionV>
            <wp:extent cx="76835"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-1250950</wp:posOffset>
            </wp:positionV>
            <wp:extent cx="76835"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-1268095</wp:posOffset>
            </wp:positionV>
            <wp:extent cx="6858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-1250950</wp:posOffset>
            </wp:positionV>
            <wp:extent cx="6858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-25400</wp:posOffset>
            </wp:positionV>
            <wp:extent cx="6858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-8255</wp:posOffset>
            </wp:positionV>
            <wp:extent cx="6858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Nonvested Stock Unit Awards</w:t>
      </w:r>
    </w:p>
    <w:p>
      <w:pPr>
        <w:spacing w:after="0" w:line="121" w:lineRule="exact"/>
        <w:rPr>
          <w:sz w:val="20"/>
          <w:szCs w:val="20"/>
          <w:color w:val="auto"/>
        </w:rPr>
      </w:pPr>
    </w:p>
    <w:p>
      <w:pPr>
        <w:jc w:val="both"/>
        <w:ind w:right="100"/>
        <w:spacing w:after="0" w:line="261" w:lineRule="auto"/>
        <w:rPr>
          <w:sz w:val="20"/>
          <w:szCs w:val="20"/>
          <w:color w:val="auto"/>
        </w:rPr>
      </w:pPr>
      <w:r>
        <w:rPr>
          <w:rFonts w:ascii="Times New Roman" w:cs="Times New Roman" w:eastAsia="Times New Roman" w:hAnsi="Times New Roman"/>
          <w:sz w:val="18"/>
          <w:szCs w:val="18"/>
          <w:color w:val="auto"/>
        </w:rPr>
        <w:t>During the 13 and 39 weeks ended November 1, 2025, the Company issued 205 and 1,354 nonvested stock units to employees and directors at a weighted average grant date fair value of $2.89 and $1.52 per share, respectively. The shares issued to employees of the Company vest over a three-year period with one third of the shares vesting on each anniversary of the grant date. The shares issued to directors of the Company vest over a 12-month period with one-twelfth of the shares vesting each month.</w:t>
      </w:r>
    </w:p>
    <w:p>
      <w:pPr>
        <w:spacing w:after="0" w:line="180"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During the 13 weeks ended November 2, 2024, the Company did not issue any nonvested stock units to employees or directors. During the 39 weeks ended November 2, 2024, the Company issued 1,354 nonvested stock units to employees and directors at a weighted average grant date fair value of $3.12 per share.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rollforward of outstanding nonvested stock units (per share amounts are not in thousands):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440" w:type="dxa"/>
            <w:vAlign w:val="bottom"/>
            <w:gridSpan w:val="2"/>
          </w:tcPr>
          <w:p>
            <w:pPr>
              <w:jc w:val="center"/>
              <w:ind w:right="72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470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40" w:type="dxa"/>
            <w:vAlign w:val="bottom"/>
            <w:gridSpan w:val="2"/>
          </w:tcPr>
          <w:p>
            <w:pPr>
              <w:jc w:val="center"/>
              <w:ind w:right="72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2180" w:type="dxa"/>
            <w:vAlign w:val="bottom"/>
            <w:vMerge w:val="restart"/>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40" w:type="dxa"/>
            <w:vAlign w:val="bottom"/>
            <w:gridSpan w:val="2"/>
          </w:tcPr>
          <w:p>
            <w:pPr>
              <w:jc w:val="center"/>
              <w:ind w:right="720"/>
              <w:spacing w:after="0" w:line="149" w:lineRule="exact"/>
              <w:rPr>
                <w:sz w:val="20"/>
                <w:szCs w:val="20"/>
                <w:color w:val="auto"/>
              </w:rPr>
            </w:pPr>
            <w:r>
              <w:rPr>
                <w:rFonts w:ascii="Times New Roman" w:cs="Times New Roman" w:eastAsia="Times New Roman" w:hAnsi="Times New Roman"/>
                <w:sz w:val="14"/>
                <w:szCs w:val="14"/>
                <w:b w:val="1"/>
                <w:bCs w:val="1"/>
                <w:color w:val="auto"/>
              </w:rPr>
              <w:t>grant-date</w:t>
            </w:r>
          </w:p>
        </w:tc>
        <w:tc>
          <w:tcPr>
            <w:tcW w:w="0" w:type="dxa"/>
            <w:vAlign w:val="bottom"/>
          </w:tcPr>
          <w:p>
            <w:pPr>
              <w:spacing w:after="0"/>
              <w:rPr>
                <w:sz w:val="1"/>
                <w:szCs w:val="1"/>
                <w:color w:val="auto"/>
              </w:rPr>
            </w:pPr>
          </w:p>
        </w:tc>
      </w:tr>
      <w:tr>
        <w:trPr>
          <w:trHeight w:val="173"/>
        </w:trPr>
        <w:tc>
          <w:tcPr>
            <w:tcW w:w="4700" w:type="dxa"/>
            <w:vAlign w:val="bottom"/>
          </w:tcPr>
          <w:p>
            <w:pPr>
              <w:spacing w:after="0"/>
              <w:rPr>
                <w:sz w:val="15"/>
                <w:szCs w:val="15"/>
                <w:color w:val="auto"/>
              </w:rPr>
            </w:pPr>
          </w:p>
        </w:tc>
        <w:tc>
          <w:tcPr>
            <w:tcW w:w="2180" w:type="dxa"/>
            <w:vAlign w:val="bottom"/>
            <w:tcBorders>
              <w:bottom w:val="single" w:sz="8" w:color="auto"/>
            </w:tcBorders>
            <w:vMerge w:val="continue"/>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460" w:type="dxa"/>
            <w:vAlign w:val="bottom"/>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2340" w:type="dxa"/>
            <w:vAlign w:val="bottom"/>
            <w:tcBorders>
              <w:bottom w:val="single" w:sz="8" w:color="auto"/>
            </w:tcBorders>
          </w:tcPr>
          <w:p>
            <w:pPr>
              <w:jc w:val="center"/>
              <w:ind w:right="53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68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February 1, 2025</w:t>
            </w:r>
          </w:p>
        </w:tc>
        <w:tc>
          <w:tcPr>
            <w:tcW w:w="1300" w:type="dxa"/>
            <w:vAlign w:val="bottom"/>
            <w:gridSpan w:val="2"/>
            <w:shd w:val="clear" w:color="auto" w:fill="CFF0FC"/>
          </w:tcPr>
          <w:p>
            <w:pPr>
              <w:jc w:val="right"/>
              <w:ind w:right="440"/>
              <w:spacing w:after="0"/>
              <w:rPr>
                <w:sz w:val="20"/>
                <w:szCs w:val="20"/>
                <w:color w:val="auto"/>
              </w:rPr>
            </w:pPr>
            <w:r>
              <w:rPr>
                <w:rFonts w:ascii="Times New Roman" w:cs="Times New Roman" w:eastAsia="Times New Roman" w:hAnsi="Times New Roman"/>
                <w:sz w:val="18"/>
                <w:szCs w:val="18"/>
                <w:color w:val="auto"/>
              </w:rPr>
              <w:t>1,700</w:t>
            </w:r>
          </w:p>
        </w:tc>
        <w:tc>
          <w:tcPr>
            <w:tcW w:w="620" w:type="dxa"/>
            <w:vAlign w:val="bottom"/>
            <w:shd w:val="clear" w:color="auto" w:fill="CFF0FC"/>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24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4.01</w:t>
            </w:r>
          </w:p>
        </w:tc>
        <w:tc>
          <w:tcPr>
            <w:tcW w:w="0" w:type="dxa"/>
            <w:vAlign w:val="bottom"/>
          </w:tcPr>
          <w:p>
            <w:pPr>
              <w:spacing w:after="0"/>
              <w:rPr>
                <w:sz w:val="1"/>
                <w:szCs w:val="1"/>
                <w:color w:val="auto"/>
              </w:rPr>
            </w:pPr>
          </w:p>
        </w:tc>
      </w:tr>
      <w:tr>
        <w:trPr>
          <w:trHeight w:val="216"/>
        </w:trPr>
        <w:tc>
          <w:tcPr>
            <w:tcW w:w="6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Grants</w:t>
            </w:r>
          </w:p>
        </w:tc>
        <w:tc>
          <w:tcPr>
            <w:tcW w:w="13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1,354</w:t>
            </w:r>
          </w:p>
        </w:tc>
        <w:tc>
          <w:tcPr>
            <w:tcW w:w="620" w:type="dxa"/>
            <w:vAlign w:val="bottom"/>
          </w:tcPr>
          <w:p>
            <w:pPr>
              <w:spacing w:after="0"/>
              <w:rPr>
                <w:sz w:val="18"/>
                <w:szCs w:val="18"/>
                <w:color w:val="auto"/>
              </w:rPr>
            </w:pPr>
          </w:p>
        </w:tc>
        <w:tc>
          <w:tcPr>
            <w:tcW w:w="2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1.52</w:t>
            </w:r>
          </w:p>
        </w:tc>
        <w:tc>
          <w:tcPr>
            <w:tcW w:w="0" w:type="dxa"/>
            <w:vAlign w:val="bottom"/>
          </w:tcPr>
          <w:p>
            <w:pPr>
              <w:spacing w:after="0"/>
              <w:rPr>
                <w:sz w:val="1"/>
                <w:szCs w:val="1"/>
                <w:color w:val="auto"/>
              </w:rPr>
            </w:pPr>
          </w:p>
        </w:tc>
      </w:tr>
      <w:tr>
        <w:trPr>
          <w:trHeight w:val="216"/>
        </w:trPr>
        <w:tc>
          <w:tcPr>
            <w:tcW w:w="68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Forfeitures</w:t>
            </w:r>
          </w:p>
        </w:tc>
        <w:tc>
          <w:tcPr>
            <w:tcW w:w="130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8"/>
                <w:szCs w:val="18"/>
                <w:color w:val="auto"/>
              </w:rPr>
              <w:t>(245)</w:t>
            </w:r>
          </w:p>
        </w:tc>
        <w:tc>
          <w:tcPr>
            <w:tcW w:w="620" w:type="dxa"/>
            <w:vAlign w:val="bottom"/>
            <w:shd w:val="clear" w:color="auto" w:fill="CFF0FC"/>
          </w:tcPr>
          <w:p>
            <w:pPr>
              <w:spacing w:after="0"/>
              <w:rPr>
                <w:sz w:val="18"/>
                <w:szCs w:val="18"/>
                <w:color w:val="auto"/>
              </w:rPr>
            </w:pPr>
          </w:p>
        </w:tc>
        <w:tc>
          <w:tcPr>
            <w:tcW w:w="24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2.36</w:t>
            </w: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Vested</w:t>
            </w:r>
          </w:p>
        </w:tc>
        <w:tc>
          <w:tcPr>
            <w:tcW w:w="2180" w:type="dxa"/>
            <w:vAlign w:val="bottom"/>
          </w:tcPr>
          <w:p>
            <w:pPr>
              <w:spacing w:after="0"/>
              <w:rPr>
                <w:sz w:val="18"/>
                <w:szCs w:val="18"/>
                <w:color w:val="auto"/>
              </w:rPr>
            </w:pPr>
          </w:p>
        </w:tc>
        <w:tc>
          <w:tcPr>
            <w:tcW w:w="13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(785)</w:t>
            </w:r>
          </w:p>
        </w:tc>
        <w:tc>
          <w:tcPr>
            <w:tcW w:w="620" w:type="dxa"/>
            <w:vAlign w:val="bottom"/>
          </w:tcPr>
          <w:p>
            <w:pPr>
              <w:spacing w:after="0"/>
              <w:rPr>
                <w:sz w:val="18"/>
                <w:szCs w:val="18"/>
                <w:color w:val="auto"/>
              </w:rPr>
            </w:pPr>
          </w:p>
        </w:tc>
        <w:tc>
          <w:tcPr>
            <w:tcW w:w="2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3.97</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November 1, 2025</w:t>
            </w:r>
          </w:p>
        </w:tc>
        <w:tc>
          <w:tcPr>
            <w:tcW w:w="218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440"/>
              <w:spacing w:after="0"/>
              <w:rPr>
                <w:sz w:val="20"/>
                <w:szCs w:val="20"/>
                <w:color w:val="auto"/>
              </w:rPr>
            </w:pPr>
            <w:r>
              <w:rPr>
                <w:rFonts w:ascii="Times New Roman" w:cs="Times New Roman" w:eastAsia="Times New Roman" w:hAnsi="Times New Roman"/>
                <w:sz w:val="18"/>
                <w:szCs w:val="18"/>
                <w:color w:val="auto"/>
              </w:rPr>
              <w:t>2,024</w:t>
            </w:r>
          </w:p>
        </w:tc>
        <w:tc>
          <w:tcPr>
            <w:tcW w:w="620" w:type="dxa"/>
            <w:vAlign w:val="bottom"/>
            <w:shd w:val="clear" w:color="auto" w:fill="CFF0FC"/>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24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2.54</w:t>
            </w:r>
          </w:p>
        </w:tc>
        <w:tc>
          <w:tcPr>
            <w:tcW w:w="0" w:type="dxa"/>
            <w:vAlign w:val="bottom"/>
          </w:tcPr>
          <w:p>
            <w:pPr>
              <w:spacing w:after="0"/>
              <w:rPr>
                <w:sz w:val="1"/>
                <w:szCs w:val="1"/>
                <w:color w:val="auto"/>
              </w:rPr>
            </w:pPr>
          </w:p>
        </w:tc>
      </w:tr>
      <w:tr>
        <w:trPr>
          <w:trHeight w:val="844"/>
        </w:trPr>
        <w:tc>
          <w:tcPr>
            <w:tcW w:w="4700" w:type="dxa"/>
            <w:vAlign w:val="bottom"/>
            <w:tcBorders>
              <w:top w:val="single" w:sz="8" w:color="CFF0FC"/>
            </w:tcBorders>
          </w:tcPr>
          <w:p>
            <w:pPr>
              <w:spacing w:after="0"/>
              <w:rPr>
                <w:sz w:val="24"/>
                <w:szCs w:val="24"/>
                <w:color w:val="auto"/>
              </w:rPr>
            </w:pPr>
          </w:p>
        </w:tc>
        <w:tc>
          <w:tcPr>
            <w:tcW w:w="2180" w:type="dxa"/>
            <w:vAlign w:val="bottom"/>
            <w:tcBorders>
              <w:top w:val="single" w:sz="8" w:color="auto"/>
            </w:tcBorders>
          </w:tcPr>
          <w:p>
            <w:pPr>
              <w:jc w:val="right"/>
              <w:ind w:right="1079"/>
              <w:spacing w:after="0"/>
              <w:rPr>
                <w:sz w:val="20"/>
                <w:szCs w:val="20"/>
                <w:color w:val="auto"/>
              </w:rPr>
            </w:pPr>
            <w:r>
              <w:rPr>
                <w:rFonts w:ascii="Times New Roman" w:cs="Times New Roman" w:eastAsia="Times New Roman" w:hAnsi="Times New Roman"/>
                <w:sz w:val="18"/>
                <w:szCs w:val="18"/>
                <w:color w:val="auto"/>
              </w:rPr>
              <w:t>20</w:t>
            </w:r>
          </w:p>
        </w:tc>
        <w:tc>
          <w:tcPr>
            <w:tcW w:w="840" w:type="dxa"/>
            <w:vAlign w:val="bottom"/>
            <w:tcBorders>
              <w:top w:val="single" w:sz="8" w:color="auto"/>
            </w:tcBorders>
          </w:tcPr>
          <w:p>
            <w:pPr>
              <w:spacing w:after="0"/>
              <w:rPr>
                <w:sz w:val="24"/>
                <w:szCs w:val="24"/>
                <w:color w:val="auto"/>
              </w:rPr>
            </w:pPr>
          </w:p>
        </w:tc>
        <w:tc>
          <w:tcPr>
            <w:tcW w:w="460" w:type="dxa"/>
            <w:vAlign w:val="bottom"/>
            <w:tcBorders>
              <w:top w:val="single" w:sz="8" w:color="CFF0FC"/>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234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700" w:type="dxa"/>
            <w:vAlign w:val="bottom"/>
            <w:tcBorders>
              <w:bottom w:val="single" w:sz="8" w:color="9A9A9A"/>
            </w:tcBorders>
          </w:tcPr>
          <w:p>
            <w:pPr>
              <w:spacing w:after="0"/>
              <w:rPr>
                <w:sz w:val="24"/>
                <w:szCs w:val="24"/>
                <w:color w:val="auto"/>
              </w:rPr>
            </w:pPr>
          </w:p>
        </w:tc>
        <w:tc>
          <w:tcPr>
            <w:tcW w:w="218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23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-1070610</wp:posOffset>
            </wp:positionV>
            <wp:extent cx="76835"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-1053465</wp:posOffset>
            </wp:positionV>
            <wp:extent cx="76835"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-1070610</wp:posOffset>
            </wp:positionV>
            <wp:extent cx="6858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-1053465</wp:posOffset>
            </wp:positionV>
            <wp:extent cx="6858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76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8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7680" w:type="dxa"/>
            <w:vAlign w:val="bottom"/>
          </w:tcPr>
          <w:p>
            <w:pPr>
              <w:spacing w:after="0"/>
              <w:rPr>
                <w:sz w:val="12"/>
                <w:szCs w:val="12"/>
                <w:color w:val="auto"/>
              </w:rPr>
            </w:pPr>
          </w:p>
        </w:tc>
        <w:tc>
          <w:tcPr>
            <w:tcW w:w="1120" w:type="dxa"/>
            <w:vAlign w:val="bottom"/>
            <w:vMerge w:val="restart"/>
          </w:tcPr>
          <w:p>
            <w:pPr>
              <w:ind w:left="6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8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grant-date</w:t>
            </w:r>
          </w:p>
        </w:tc>
        <w:tc>
          <w:tcPr>
            <w:tcW w:w="0" w:type="dxa"/>
            <w:vAlign w:val="bottom"/>
          </w:tcPr>
          <w:p>
            <w:pPr>
              <w:spacing w:after="0"/>
              <w:rPr>
                <w:sz w:val="1"/>
                <w:szCs w:val="1"/>
                <w:color w:val="auto"/>
              </w:rPr>
            </w:pPr>
          </w:p>
        </w:tc>
      </w:tr>
      <w:tr>
        <w:trPr>
          <w:trHeight w:val="173"/>
        </w:trPr>
        <w:tc>
          <w:tcPr>
            <w:tcW w:w="7680" w:type="dxa"/>
            <w:vAlign w:val="bottom"/>
          </w:tcPr>
          <w:p>
            <w:pPr>
              <w:spacing w:after="0"/>
              <w:rPr>
                <w:sz w:val="15"/>
                <w:szCs w:val="15"/>
                <w:color w:val="auto"/>
              </w:rPr>
            </w:pPr>
          </w:p>
        </w:tc>
        <w:tc>
          <w:tcPr>
            <w:tcW w:w="1120" w:type="dxa"/>
            <w:vAlign w:val="bottom"/>
            <w:tcBorders>
              <w:bottom w:val="single" w:sz="8" w:color="auto"/>
            </w:tcBorders>
            <w:vMerge w:val="continue"/>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center"/>
              <w:ind w:right="21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88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February 3, 2024</w:t>
            </w:r>
          </w:p>
        </w:tc>
        <w:tc>
          <w:tcPr>
            <w:tcW w:w="6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1,058</w:t>
            </w:r>
          </w:p>
        </w:tc>
        <w:tc>
          <w:tcPr>
            <w:tcW w:w="4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7.13</w:t>
            </w:r>
          </w:p>
        </w:tc>
        <w:tc>
          <w:tcPr>
            <w:tcW w:w="0" w:type="dxa"/>
            <w:vAlign w:val="bottom"/>
          </w:tcPr>
          <w:p>
            <w:pPr>
              <w:spacing w:after="0"/>
              <w:rPr>
                <w:sz w:val="1"/>
                <w:szCs w:val="1"/>
                <w:color w:val="auto"/>
              </w:rPr>
            </w:pPr>
          </w:p>
        </w:tc>
      </w:tr>
      <w:tr>
        <w:trPr>
          <w:trHeight w:val="216"/>
        </w:trPr>
        <w:tc>
          <w:tcPr>
            <w:tcW w:w="8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Grants</w:t>
            </w: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1,354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3.12</w:t>
            </w:r>
          </w:p>
        </w:tc>
        <w:tc>
          <w:tcPr>
            <w:tcW w:w="0" w:type="dxa"/>
            <w:vAlign w:val="bottom"/>
          </w:tcPr>
          <w:p>
            <w:pPr>
              <w:spacing w:after="0"/>
              <w:rPr>
                <w:sz w:val="1"/>
                <w:szCs w:val="1"/>
                <w:color w:val="auto"/>
              </w:rPr>
            </w:pPr>
          </w:p>
        </w:tc>
      </w:tr>
      <w:tr>
        <w:trPr>
          <w:trHeight w:val="216"/>
        </w:trPr>
        <w:tc>
          <w:tcPr>
            <w:tcW w:w="88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Forfeitures</w:t>
            </w:r>
          </w:p>
        </w:tc>
        <w:tc>
          <w:tcPr>
            <w:tcW w:w="6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(147)</w:t>
            </w: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6.12</w:t>
            </w:r>
          </w:p>
        </w:tc>
        <w:tc>
          <w:tcPr>
            <w:tcW w:w="0" w:type="dxa"/>
            <w:vAlign w:val="bottom"/>
          </w:tcPr>
          <w:p>
            <w:pPr>
              <w:spacing w:after="0"/>
              <w:rPr>
                <w:sz w:val="1"/>
                <w:szCs w:val="1"/>
                <w:color w:val="auto"/>
              </w:rPr>
            </w:pPr>
          </w:p>
        </w:tc>
      </w:tr>
      <w:tr>
        <w:trPr>
          <w:trHeight w:val="216"/>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Vested</w:t>
            </w:r>
          </w:p>
        </w:tc>
        <w:tc>
          <w:tcPr>
            <w:tcW w:w="11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7.31</w:t>
            </w:r>
          </w:p>
        </w:tc>
        <w:tc>
          <w:tcPr>
            <w:tcW w:w="0" w:type="dxa"/>
            <w:vAlign w:val="bottom"/>
          </w:tcPr>
          <w:p>
            <w:pPr>
              <w:spacing w:after="0"/>
              <w:rPr>
                <w:sz w:val="1"/>
                <w:szCs w:val="1"/>
                <w:color w:val="auto"/>
              </w:rPr>
            </w:pPr>
          </w:p>
        </w:tc>
      </w:tr>
      <w:tr>
        <w:trPr>
          <w:trHeight w:val="20"/>
        </w:trPr>
        <w:tc>
          <w:tcPr>
            <w:tcW w:w="76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November 2, 2024</w:t>
            </w:r>
          </w:p>
        </w:tc>
        <w:tc>
          <w:tcPr>
            <w:tcW w:w="112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1,831</w:t>
            </w:r>
          </w:p>
        </w:tc>
        <w:tc>
          <w:tcPr>
            <w:tcW w:w="160" w:type="dxa"/>
            <w:vAlign w:val="bottom"/>
            <w:shd w:val="clear" w:color="auto" w:fill="CFF0FC"/>
          </w:tcPr>
          <w:p>
            <w:pPr>
              <w:spacing w:after="0"/>
              <w:rPr>
                <w:sz w:val="19"/>
                <w:szCs w:val="19"/>
                <w:color w:val="auto"/>
              </w:rPr>
            </w:pPr>
          </w:p>
        </w:tc>
        <w:tc>
          <w:tcPr>
            <w:tcW w:w="4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4.18</w:t>
            </w:r>
          </w:p>
        </w:tc>
        <w:tc>
          <w:tcPr>
            <w:tcW w:w="0" w:type="dxa"/>
            <w:vAlign w:val="bottom"/>
          </w:tcPr>
          <w:p>
            <w:pPr>
              <w:spacing w:after="0"/>
              <w:rPr>
                <w:sz w:val="1"/>
                <w:szCs w:val="1"/>
                <w:color w:val="auto"/>
              </w:rPr>
            </w:pPr>
          </w:p>
        </w:tc>
      </w:tr>
      <w:tr>
        <w:trPr>
          <w:trHeight w:val="20"/>
        </w:trPr>
        <w:tc>
          <w:tcPr>
            <w:tcW w:w="7680" w:type="dxa"/>
            <w:vAlign w:val="bottom"/>
            <w:tcBorders>
              <w:top w:val="single" w:sz="8" w:color="CFF0FC"/>
            </w:tcBorders>
            <w:shd w:val="clear" w:color="auto" w:fill="CFF0FC"/>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-24765</wp:posOffset>
            </wp:positionV>
            <wp:extent cx="6858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6858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ind w:right="8340" w:firstLine="8"/>
        <w:spacing w:after="0" w:line="378" w:lineRule="auto"/>
        <w:tabs>
          <w:tab w:leader="none" w:pos="345"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 Legal Matters</w:t>
      </w:r>
    </w:p>
    <w:p>
      <w:pPr>
        <w:ind w:right="80"/>
        <w:spacing w:after="0" w:line="266" w:lineRule="auto"/>
        <w:rPr>
          <w:sz w:val="20"/>
          <w:szCs w:val="20"/>
          <w:color w:val="auto"/>
        </w:rPr>
      </w:pPr>
      <w:r>
        <w:rPr>
          <w:rFonts w:ascii="Times New Roman" w:cs="Times New Roman" w:eastAsia="Times New Roman" w:hAnsi="Times New Roman"/>
          <w:sz w:val="18"/>
          <w:szCs w:val="18"/>
          <w:color w:val="auto"/>
        </w:rPr>
        <w:t>The Company is involved in various legal matters generally incidental to its business. After discussion with legal counsel, management is not aware of any matters for which the likelihood of a loss is probable and reasonably estimable and which could have a material impact on its consolidated financial condition, liquidity, or results of operations.</w:t>
      </w:r>
    </w:p>
    <w:p>
      <w:pPr>
        <w:spacing w:after="0" w:line="68"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 xml:space="preserve">On January 22, 2024, Jon Kogut filed a putative class action lawsuit against the Company and the members of its Board of Directors (the “Board”) in the Delaware Court of Chancery. The lawsuit asserted claims on behalf of a putative class comprised of all stockholders other than defendants and any current directors or officers of the Company and was captioned </w:t>
      </w:r>
      <w:r>
        <w:rPr>
          <w:rFonts w:ascii="Times New Roman" w:cs="Times New Roman" w:eastAsia="Times New Roman" w:hAnsi="Times New Roman"/>
          <w:sz w:val="18"/>
          <w:szCs w:val="18"/>
          <w:i w:val="1"/>
          <w:iCs w:val="1"/>
          <w:color w:val="auto"/>
        </w:rPr>
        <w:t>Kogut v. Bejar, et al.</w:t>
      </w:r>
      <w:r>
        <w:rPr>
          <w:rFonts w:ascii="Times New Roman" w:cs="Times New Roman" w:eastAsia="Times New Roman" w:hAnsi="Times New Roman"/>
          <w:sz w:val="18"/>
          <w:szCs w:val="18"/>
          <w:color w:val="auto"/>
        </w:rPr>
        <w:t>, C.A. No. 2024-0055-MTZ (Del. Ch.). In his complaint, Mr. Kogut contended that certain provisions in the Company’s advance notice bylaws (the “Challenged Provisions”) were invalid and void and that the members of the Board breached their fiduciary duty of loyalty by adopting and maintaining the Challenged Provisions. In addition to seeking declaratory, equitable, and injunctive relief, Mr. Kogut sought an award of attorneys’ fees and other costs and expenses on behalf of the putative class. On March 27, 2025, the Court stayed the action pending the resolution of motions to dismiss in other cases challenging advance notice bylaws. On December 2, 2025, Mr. Kogut voluntarily dismissed the action with prejudice, and the Court granted the dismissal.</w:t>
      </w:r>
    </w:p>
    <w:p>
      <w:pPr>
        <w:spacing w:after="0" w:line="84"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On July 18, 2024, Kjersten Higley filed a class action lawsuit against the Company in the Superior Court of the State of Washington in King County. The lawsuit asserts claims on behalf of a class of individuals stating Company failed to properly compensate the class members for all time worked and business expenses. In addition to seeking declaratory, equitable, and injunctive relief, Ms. Higley seeks an award of attorneys’ fees and other costs and expenses on behalf of the class. This is currently being mediated.</w:t>
      </w:r>
    </w:p>
    <w:p>
      <w:pPr>
        <w:spacing w:after="0" w:line="72"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On January 13, 2025, Kjersten Higley filed a class action lawsuit against the Company in the Superior Court of the State of Washington in King County. The lawsuit asserts claims on behalf of a class of individuals stating they were required to sign non-disclosure agreements preventing the class of individuals from discussing salary information. In addition to seeking declaratory, equitable, and injunctive relief, Ms. Higley seeks an award of attorneys’ fees and other costs and expenses on behalf of the class. This is currently being mediated.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i w:val="1"/>
          <w:iCs w:val="1"/>
          <w:color w:val="auto"/>
        </w:rPr>
        <w:t>The discussion below contains forward-looking statements that involve risks and uncertainties. Our actual results could differ materially from those anticipated in these forward-looking statements as a result of various factors, including those which are discussed in the “Risk Factors” section in Part I., Item 1A. of our Fiscal 2024 Form 10-K. Also see “Special Note Regarding Forward-Looking Statements” preceding Part I. of this 10-Q. Additionally, our historical results are not necessarily indicative of the results that may be expected or achieved for any future period.</w:t>
      </w:r>
    </w:p>
    <w:p>
      <w:pPr>
        <w:spacing w:after="0" w:line="180" w:lineRule="exact"/>
        <w:rPr>
          <w:sz w:val="20"/>
          <w:szCs w:val="20"/>
          <w:color w:val="auto"/>
        </w:rPr>
      </w:pPr>
    </w:p>
    <w:p>
      <w:pPr>
        <w:ind w:right="680"/>
        <w:spacing w:after="0" w:line="284" w:lineRule="auto"/>
        <w:rPr>
          <w:sz w:val="20"/>
          <w:szCs w:val="20"/>
          <w:color w:val="auto"/>
        </w:rPr>
      </w:pPr>
      <w:r>
        <w:rPr>
          <w:rFonts w:ascii="Times New Roman" w:cs="Times New Roman" w:eastAsia="Times New Roman" w:hAnsi="Times New Roman"/>
          <w:sz w:val="18"/>
          <w:szCs w:val="18"/>
          <w:i w:val="1"/>
          <w:iCs w:val="1"/>
          <w:color w:val="auto"/>
        </w:rPr>
        <w:t>The following discussion and analysis should be read in conjunction with, and is qualified in its entirety by reference to, the unaudited condensed consolidated financial statements and the notes thereto included in this 10-Q.</w:t>
      </w:r>
    </w:p>
    <w:p>
      <w:pPr>
        <w:spacing w:after="0" w:line="1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right="120"/>
        <w:spacing w:after="0" w:line="282" w:lineRule="auto"/>
        <w:rPr>
          <w:sz w:val="20"/>
          <w:szCs w:val="20"/>
          <w:color w:val="auto"/>
        </w:rPr>
      </w:pPr>
      <w:r>
        <w:rPr>
          <w:rFonts w:ascii="Times New Roman" w:cs="Times New Roman" w:eastAsia="Times New Roman" w:hAnsi="Times New Roman"/>
          <w:sz w:val="18"/>
          <w:szCs w:val="18"/>
          <w:color w:val="auto"/>
        </w:rPr>
        <w:t>We are an outdoor sporting goods retailer focused on meeting the everyday needs of the seasoned outdoor veteran, the first-time participant and everyone in between. Our mission is to provide outstanding gear and exceptional service to inspire outdoor memories.</w:t>
      </w:r>
    </w:p>
    <w:p>
      <w:pPr>
        <w:spacing w:after="0" w:line="162"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Our business was founded in 1986 as a single retail store in Midvale, Utah. Today, we operate 146 stores in 32 states, totaling approximately 5.4 million gross square feet. We also operate an e-commerce platform at www.sportsmans.com. We do not incorporate the information on or accessible through our website into this 10-Q, and you should not consider any information on, or that can be accessed through, our website as part of this 10-Q.</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stores and our e-commerce platform are aggregated into one operating and reportable segment.</w:t>
      </w:r>
    </w:p>
    <w:p>
      <w:pPr>
        <w:spacing w:after="0" w:line="22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Impact of Macroeconomic Conditions</w:t>
      </w:r>
    </w:p>
    <w:p>
      <w:pPr>
        <w:spacing w:after="0" w:line="229"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Our financial results and operations have been, and will continue to be, impacted by events outside of our control. Global economic and business activities continue to face widespread macroeconomic uncertainties, including the impact of international trade policies and increased tariff rates, inflation, elevated interest rates, recession risks and rising global political tensions.</w:t>
      </w:r>
    </w:p>
    <w:p>
      <w:pPr>
        <w:spacing w:after="0" w:line="17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Recent changes in international trade policy and the implementation of increased tariff rates have caused substantial uncertainty with respect to our inventory cost. If some of the proposed and current changes to international trade and tariff policy are implemented or continue for a significant length of time, we will experience a material increase in our inventory costs, especially in our Hunting and Shooting and Optics, Electronics, Accessories and Other departments. We cannot predict the ultimate impact of such changes on our financial results for the remainder of fiscal year 2025 and beyond since such policies remain highly dynamic and evolving. In the first half of fiscal year 2025, we purchased additional inventory in anticipation of increased tariff rates to be prepared for the hunting and holiday seasons. We will continue to consider other means to mitigate the impact of increased tariff rates, including by seeking alternative sourcing of our products and by negotiating with our suppliers to absorb a portion of increased costs due to changes in tariff rates and trade policy; however, we cannot provide any assurances that we will be successful in such efforts.</w:t>
      </w:r>
    </w:p>
    <w:p>
      <w:pPr>
        <w:spacing w:after="0" w:line="192"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In addition, since the beginning of fiscal year 2023, our business has been and continues to be impacted by consumer inflationary pressures and recession concerns. As a result, we have implemented cost reduction measures and reduced investments in future new store openings to reflect current sales trends. We did not open any new stores in fiscal year 2024 and we plan to open one new store in fiscal year 2025.</w:t>
      </w:r>
    </w:p>
    <w:p>
      <w:pPr>
        <w:spacing w:after="0" w:line="176"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We continue to actively monitor the impact of these macroeconomic factors on our financial condition, liquidity, operations, suppliers, industry and workforce. The extent of the impact of these factors on our operational and financial performance, including our ability to execute our business strategies and initiatives in the expected timeframe, will depend on future developments, and the impact on our customers, partners and outfitters, all of</w:t>
      </w:r>
    </w:p>
    <w:p>
      <w:pPr>
        <w:spacing w:after="0" w:line="39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769" w:right="39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which are uncertain and cannot be predicted; however, any continued or renewed disruption resulting from these factors could negatively impact our business.</w:t>
      </w:r>
    </w:p>
    <w:p>
      <w:pPr>
        <w:spacing w:after="0" w:line="15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How We Assess the Performance of Our Business</w:t>
      </w:r>
    </w:p>
    <w:p>
      <w:pPr>
        <w:spacing w:after="0" w:line="229" w:lineRule="exact"/>
        <w:rPr>
          <w:sz w:val="20"/>
          <w:szCs w:val="20"/>
          <w:color w:val="auto"/>
        </w:rPr>
      </w:pPr>
    </w:p>
    <w:p>
      <w:pPr>
        <w:ind w:right="340"/>
        <w:spacing w:after="0" w:line="281" w:lineRule="auto"/>
        <w:rPr>
          <w:sz w:val="20"/>
          <w:szCs w:val="20"/>
          <w:color w:val="auto"/>
        </w:rPr>
      </w:pPr>
      <w:r>
        <w:rPr>
          <w:rFonts w:ascii="Times New Roman" w:cs="Times New Roman" w:eastAsia="Times New Roman" w:hAnsi="Times New Roman"/>
          <w:sz w:val="17"/>
          <w:szCs w:val="17"/>
          <w:color w:val="auto"/>
        </w:rPr>
        <w:t>In assessing the performance of our business, we consider a variety of performance and financial measures. The key measures for determining how our business is performing are net sales, same store sales, gross margin, selling, general and administrative expenses, income from operations and Adjusted EBITDA, which we define as net loss plus interest expense, income tax benefit, depreciation and amortization, stock-based compensation expense, transition and severance costs related to director and officer transitions, and expenses that we do not believe are indicative of our ongoing expenses.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Sales and Same Store Sales</w:t>
      </w:r>
    </w:p>
    <w:p>
      <w:pPr>
        <w:spacing w:after="0" w:line="135"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8"/>
          <w:szCs w:val="18"/>
          <w:color w:val="auto"/>
        </w:rPr>
        <w:t>Our net sales are primarily received from revenue generated in our stores and also include sales generated through our e-commerce platform. When measuring revenue generated from our stores, we review our same store sales as well as the performance of our stores that have not operated for a sufficient amount of time and include each in same store sales. We include net sales from a store in same store sales on the first day of the 13</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 xml:space="preserve"> full fiscal month following the store’s grand opening or acquisition by us. We exclude sales from stores that were closed during the period from our same store sales calculation. We include net sales from e-commerce in our calculation of same store sales. For fiscal years consisting of 53 weeks, we exclude net sales during the 53</w:t>
      </w:r>
      <w:r>
        <w:rPr>
          <w:rFonts w:ascii="Times New Roman" w:cs="Times New Roman" w:eastAsia="Times New Roman" w:hAnsi="Times New Roman"/>
          <w:sz w:val="24"/>
          <w:szCs w:val="24"/>
          <w:color w:val="auto"/>
          <w:vertAlign w:val="superscript"/>
        </w:rPr>
        <w:t>rd</w:t>
      </w:r>
      <w:r>
        <w:rPr>
          <w:rFonts w:ascii="Times New Roman" w:cs="Times New Roman" w:eastAsia="Times New Roman" w:hAnsi="Times New Roman"/>
          <w:sz w:val="18"/>
          <w:szCs w:val="18"/>
          <w:color w:val="auto"/>
        </w:rPr>
        <w:t xml:space="preserve"> week from our calculation of same store sales. Some of our competitors and other retailers may calculate same store sales differently than we do. As a result, data regarding our same store sales may not be comparable to similar data made available by other retailers.</w:t>
      </w:r>
    </w:p>
    <w:p>
      <w:pPr>
        <w:spacing w:after="0" w:line="228"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Measuring the change in year-over-year same store sales allows us to evaluate how our retail store base is performing. Various factors affect same store sales, including:</w:t>
      </w:r>
    </w:p>
    <w:p>
      <w:pPr>
        <w:spacing w:after="0" w:line="54" w:lineRule="exact"/>
        <w:rPr>
          <w:sz w:val="20"/>
          <w:szCs w:val="20"/>
          <w:color w:val="auto"/>
        </w:rPr>
      </w:pPr>
    </w:p>
    <w:p>
      <w:pPr>
        <w:ind w:left="1020" w:right="300" w:hanging="368"/>
        <w:spacing w:after="0" w:line="266"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macroeconomic factors, political trends, social unrest, inflationary pressures, recessionary trends, labor shortages, monetary supply shifts, elevated interest rates, tightening of credit markets, and potential disruptions from the ongoing Russia-Ukraine conflict and rising global political tensions;</w:t>
      </w:r>
    </w:p>
    <w:p>
      <w:pPr>
        <w:spacing w:after="0" w:line="67"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consumer preferences, buying trends and overall economic trends;</w:t>
      </w:r>
    </w:p>
    <w:p>
      <w:pPr>
        <w:spacing w:after="0" w:line="117" w:lineRule="exact"/>
        <w:rPr>
          <w:rFonts w:ascii="Times New Roman" w:cs="Times New Roman" w:eastAsia="Times New Roman" w:hAnsi="Times New Roman"/>
          <w:sz w:val="18"/>
          <w:szCs w:val="18"/>
          <w:color w:val="auto"/>
        </w:rPr>
      </w:pPr>
    </w:p>
    <w:p>
      <w:pPr>
        <w:ind w:left="1020" w:right="140" w:hanging="368"/>
        <w:spacing w:after="0" w:line="282"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or anticipated changes to laws and government regulations related to some of the products we sell, in particular regulations relating to the sale of firearms and ammunition;</w:t>
      </w:r>
    </w:p>
    <w:p>
      <w:pPr>
        <w:spacing w:after="0" w:line="53"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and respond effectively to local and regional trends and customer preferences;</w:t>
      </w:r>
    </w:p>
    <w:p>
      <w:pPr>
        <w:spacing w:after="0" w:line="117"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provide quality customer service that will increase our conversion of shoppers into paying customers;</w:t>
      </w:r>
    </w:p>
    <w:p>
      <w:pPr>
        <w:spacing w:after="0" w:line="117"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omni-channel strategy and our e-commerce platform;</w:t>
      </w:r>
    </w:p>
    <w:p>
      <w:pPr>
        <w:spacing w:after="0" w:line="117"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in the regional market of a store;</w:t>
      </w:r>
    </w:p>
    <w:p>
      <w:pPr>
        <w:spacing w:after="0" w:line="117"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atypical weather;</w:t>
      </w:r>
    </w:p>
    <w:p>
      <w:pPr>
        <w:spacing w:after="0" w:line="117"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product introductions and changes in our product mix; and</w:t>
      </w:r>
    </w:p>
    <w:p>
      <w:pPr>
        <w:spacing w:after="0" w:line="117"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pricing and average ticket sales.</w:t>
      </w:r>
    </w:p>
    <w:p>
      <w:pPr>
        <w:spacing w:after="0" w:line="225"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We operate in a complex regulatory and legal environment that could negatively impact the demand for our products, which could significantly affect our operations and financial results. State, local, and federal laws and regulations relating to products that we sell may change, sometimes significantly, as a result of political, economic or social events.</w:t>
      </w:r>
    </w:p>
    <w:p>
      <w:pPr>
        <w:spacing w:after="0" w:line="176"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For instance, in November 2022, Oregon passed a ballot measure that amended Oregon law to prohibit private citizens from manufacturing, importing, possessing, using, purchasing, selling or transferring a magazine capable of holding (or being readily converted to hold) over ten rounds of ammunition. Additionally, this ballot measure also</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imposed complex permitting and training requirements for the purchase and sale of firearms. On December 6, 2022, a state Circuit Court judge in Oregon preliminarily enjoined the implementation of the ballot measure. On November 21, 2023, the Circuit Court judge permanently enjoined implementation of the ballot measure upon a determination that the ballot measure was facially unconstitutional under Oregon's state constitution. On March 12, 2025, the Oregon Court of Appeals reversed the state Circuit Court judge's permanent injunction, holding that the ballot measure was in fact facially constitutional under Oregon's state constitution. The Oregon Court of Appeals ordered the Circuit Court judge to enter a declaratory judgment consistent with the Court of Appeals’ decision.</w:t>
      </w:r>
    </w:p>
    <w:p>
      <w:pPr>
        <w:spacing w:after="0" w:line="120"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plaintiffs filed a petition for review before the Oregon Supreme Court on April 14, 2025, preventing the Circuit Court judge from entering the declaratory judgment pending a decision of the Oregon Supreme Court on whether to grant the petition for review. On June 12, 2025, the Oregon Supreme Court granted the petition for review and the case is now in the process of being briefed by the parties to the litigation. Oral arguments in the case are scheduled for November 6, 2025, and we anticipate a decision in the case will be rendered by the Oregon Supreme Court in late 2026. The permanent injunction entered by the Circuit Court Judge will continue to remain in effect pending the decision of the Oregon Supreme Court in this case.</w:t>
      </w:r>
    </w:p>
    <w:p>
      <w:pPr>
        <w:spacing w:after="0" w:line="10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On a parallel track, on July 24, 2025, the Governor of Oregon signed Oregon Senate Bill 243 into law. Among other things, this bill delayed the implementation date of the ballot measure until March 15, 2026. Accordingly, even if the Oregon Supreme Court upholds the Oregon Court of Appeals’ holding that the ballot measure is not facially unconstitutional between November 7, 2025 and March 14, 2026, the ballot measure will not be implemented prior to March 15, 2026. On the other hand, if the Oregon Supreme Court has not ruled on the matter by March 15, 2026, the Circuit Court judge’s permanent injunction of the ballot measure will continue to remain in effect and further delay implementation of the ballot measure indefinitely.</w:t>
      </w:r>
    </w:p>
    <w:p>
      <w:pPr>
        <w:spacing w:after="0" w:line="116"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We are aware that this ballot measure is also being challenged in a related case in federal court that is presently on appeal before the U.S. Court of Appeals for the Ninth Circuit. However, due to a ruling upholding a similar magazine capacity restriction case in California (Duncan, et al. v. Bonta, No. 23-55805 (9th Cir. 2023)), we believe it is unlikely that the Oregon ballot measure will be struck down by the U.S. Court of Appeals for the Ninth Circuit.</w:t>
      </w:r>
    </w:p>
    <w:p>
      <w:pPr>
        <w:spacing w:after="0" w:line="108"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We currently operate eight stores in the State of Oregon. If the Oregon Supreme Court upholds the Oregon Court of Appeals March 12, 2025 order and the ballot measure is allowed to take effect on or after March 15, 2026 , sales of firearms in Oregon may be halted or substantially diminished unless all permitting and training programs are fully developed by the state and/or law enforcement agencies at the time the ballot measure takes effect. If delays in establishing such permitting and training programs occur, it could result in a substantial decline in our sales of firearms and related products and reduce traffic to our stores in Oregon, which would significantly impact on our sales and gross margin. It is still unclear what measures the State of Oregon has undertaken thus far to set up the permitting and training infrastructure called for in the ballot measure.</w:t>
      </w:r>
    </w:p>
    <w:p>
      <w:pPr>
        <w:spacing w:after="0" w:line="106"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Opening new stores and acquiring store locations is also an important part of our long-term growth strategy. During fiscal year 2024, we did not open any new stores. We plan to open one new store in fiscal year 2025. We may deviate from this target if attractive opportunities are presented to open stores or acquire new store locations outside of our target growth rate.</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We also have been scaling our e-commerce platform and increasing sales through our website, </w:t>
      </w:r>
      <w:r>
        <w:rPr>
          <w:rFonts w:ascii="Times New Roman" w:cs="Times New Roman" w:eastAsia="Times New Roman" w:hAnsi="Times New Roman"/>
          <w:sz w:val="18"/>
          <w:szCs w:val="18"/>
          <w:i w:val="1"/>
          <w:iCs w:val="1"/>
          <w:color w:val="auto"/>
        </w:rPr>
        <w:t>www.sportsmans.com</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the key drivers to increasing our total net sales include:</w:t>
      </w:r>
    </w:p>
    <w:p>
      <w:pPr>
        <w:spacing w:after="0" w:line="117" w:lineRule="exact"/>
        <w:rPr>
          <w:sz w:val="20"/>
          <w:szCs w:val="20"/>
          <w:color w:val="auto"/>
        </w:rPr>
      </w:pPr>
    </w:p>
    <w:p>
      <w:pPr>
        <w:ind w:left="840" w:hanging="368"/>
        <w:spacing w:after="0"/>
        <w:tabs>
          <w:tab w:leader="none" w:pos="8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and improving same store sales in our existing markets;</w:t>
      </w:r>
    </w:p>
    <w:p>
      <w:pPr>
        <w:spacing w:after="0" w:line="117" w:lineRule="exact"/>
        <w:rPr>
          <w:rFonts w:ascii="Times New Roman" w:cs="Times New Roman" w:eastAsia="Times New Roman" w:hAnsi="Times New Roman"/>
          <w:sz w:val="18"/>
          <w:szCs w:val="18"/>
          <w:color w:val="auto"/>
        </w:rPr>
      </w:pPr>
    </w:p>
    <w:p>
      <w:pPr>
        <w:ind w:left="840" w:right="80" w:hanging="368"/>
        <w:spacing w:after="0" w:line="282" w:lineRule="auto"/>
        <w:tabs>
          <w:tab w:leader="none" w:pos="8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customer visits to our stores and improving our conversion rate through focused marketing efforts and continually high standards of customer service;</w:t>
      </w:r>
    </w:p>
    <w:p>
      <w:pPr>
        <w:spacing w:after="0" w:line="53" w:lineRule="exact"/>
        <w:rPr>
          <w:rFonts w:ascii="Times New Roman" w:cs="Times New Roman" w:eastAsia="Times New Roman" w:hAnsi="Times New Roman"/>
          <w:sz w:val="18"/>
          <w:szCs w:val="18"/>
          <w:color w:val="auto"/>
        </w:rPr>
      </w:pPr>
    </w:p>
    <w:p>
      <w:pPr>
        <w:ind w:left="840" w:hanging="368"/>
        <w:spacing w:after="0"/>
        <w:tabs>
          <w:tab w:leader="none" w:pos="8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expanding our omni-channel capabilities through refined product assortment, expanded content and expertise and better user experience;</w:t>
      </w:r>
    </w:p>
    <w:p>
      <w:pPr>
        <w:spacing w:after="0" w:line="117" w:lineRule="exact"/>
        <w:rPr>
          <w:rFonts w:ascii="Times New Roman" w:cs="Times New Roman" w:eastAsia="Times New Roman" w:hAnsi="Times New Roman"/>
          <w:sz w:val="18"/>
          <w:szCs w:val="18"/>
          <w:color w:val="auto"/>
        </w:rPr>
      </w:pPr>
    </w:p>
    <w:p>
      <w:pPr>
        <w:ind w:left="840" w:hanging="368"/>
        <w:spacing w:after="0"/>
        <w:tabs>
          <w:tab w:leader="none" w:pos="8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building strong community connections and be the local choice for hunting and fishing solutions;</w:t>
      </w:r>
    </w:p>
    <w:p>
      <w:pPr>
        <w:spacing w:after="0" w:line="117" w:lineRule="exact"/>
        <w:rPr>
          <w:rFonts w:ascii="Times New Roman" w:cs="Times New Roman" w:eastAsia="Times New Roman" w:hAnsi="Times New Roman"/>
          <w:sz w:val="18"/>
          <w:szCs w:val="18"/>
          <w:color w:val="auto"/>
        </w:rPr>
      </w:pPr>
    </w:p>
    <w:p>
      <w:pPr>
        <w:ind w:left="840" w:hanging="368"/>
        <w:spacing w:after="0"/>
        <w:tabs>
          <w:tab w:leader="none" w:pos="8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our total gross square footage by opening new stores; and</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9" w:right="37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840" w:hanging="368"/>
        <w:spacing w:after="0"/>
        <w:tabs>
          <w:tab w:leader="none" w:pos="8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growing our loyalty and credit card programs.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Gross Margin</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Gross profit consists of our net sales less cost of goods sold. Gross margin measures our gross profit as a percentage of net sales. Our cost of goods sold primarily consists of merchandise acquisition costs, including freight-in costs, shipping costs, payment term discounts received from the vendor and vendor allowances and rebates associated directly with merchandise and shipping costs related to e-commerce sales.</w:t>
      </w:r>
    </w:p>
    <w:p>
      <w:pPr>
        <w:spacing w:after="0" w:line="20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believe the key drivers to improving our gross margin are increasing the product mix to higher margin products, particularly fishing, increasing foot traffic within our stores and traffic to our website, improving buying opportunities with our vendor partners and coordinating pricing strategies among our stores and our merchandise group. Our ability to properly manage our inventory can also impact our gross margin. We focus our buying on core items, high-turning products and seasonally relevant merchandise, particularly in ammunition, fishing, camping and personal protection, as these are areas where customer demand is more predictable and where having products in stock matters most to our customers. Successful inventory management ensures we have sufficient high margin products in stock to meet customer demand, while overstocking of items can lead to markdowns in order to help a product sell. This is especially true with respect to our more in demand inventory, with approximately 20% of our products accounting for approximately 80% of our net sales. Despite our decision to pull forward inventory purchases, we anticipate ending fiscal year 2025 with lower total inventory than fiscal year 2024.</w:t>
      </w:r>
    </w:p>
    <w:p>
      <w:pPr>
        <w:spacing w:after="0" w:line="19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During fiscal year 2024 and continuing into fiscal year 2025, elevated inflation has adversely impacted our gross margins. In the first three quarters of fiscal year 2025, we experienced modest improvements in our gross margin rates. These improvements were partially offset by our decision to pull forward inventory purchases in the first half of fiscal year 2025.</w:t>
      </w:r>
    </w:p>
    <w:p>
      <w:pPr>
        <w:spacing w:after="0" w:line="176" w:lineRule="exact"/>
        <w:rPr>
          <w:sz w:val="20"/>
          <w:szCs w:val="20"/>
          <w:color w:val="auto"/>
        </w:rPr>
      </w:pPr>
    </w:p>
    <w:p>
      <w:pPr>
        <w:jc w:val="both"/>
        <w:ind w:right="140"/>
        <w:spacing w:after="0" w:line="261" w:lineRule="auto"/>
        <w:rPr>
          <w:sz w:val="20"/>
          <w:szCs w:val="20"/>
          <w:color w:val="auto"/>
        </w:rPr>
      </w:pPr>
      <w:r>
        <w:rPr>
          <w:rFonts w:ascii="Times New Roman" w:cs="Times New Roman" w:eastAsia="Times New Roman" w:hAnsi="Times New Roman"/>
          <w:sz w:val="18"/>
          <w:szCs w:val="18"/>
          <w:color w:val="auto"/>
        </w:rPr>
        <w:t>Gross margins may continue to be affected by the evolving implementation of higher tariff rates. We believe that the overall growth of our business can also help improve our gross margins, because increased merchandise volumes will enable us to maintain our strong relationships with our vendors. If we see significant declines in sales or increases in overstocked inventory, we may experience a decline in gross margins as we use promotions to drive traffic and reduce inventory.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Selling, General, and Administrative Expenses</w:t>
      </w:r>
    </w:p>
    <w:p>
      <w:pPr>
        <w:spacing w:after="0" w:line="121" w:lineRule="exact"/>
        <w:rPr>
          <w:sz w:val="20"/>
          <w:szCs w:val="20"/>
          <w:color w:val="auto"/>
        </w:rPr>
      </w:pPr>
    </w:p>
    <w:p>
      <w:pPr>
        <w:jc w:val="both"/>
        <w:ind w:right="120"/>
        <w:spacing w:after="0" w:line="261" w:lineRule="auto"/>
        <w:rPr>
          <w:sz w:val="20"/>
          <w:szCs w:val="20"/>
          <w:color w:val="auto"/>
        </w:rPr>
      </w:pPr>
      <w:r>
        <w:rPr>
          <w:rFonts w:ascii="Times New Roman" w:cs="Times New Roman" w:eastAsia="Times New Roman" w:hAnsi="Times New Roman"/>
          <w:sz w:val="18"/>
          <w:szCs w:val="18"/>
          <w:color w:val="auto"/>
        </w:rPr>
        <w:t>We closely manage our selling, general, and administrative expenses. Our selling, general, and administrative expenses are comprised of payroll, rent and occupancy, depreciation and amortization, acquisition expenses, pre-opening expenses and other operating expenses, including stock-based compensation expense. Pre-opening expenses include expenses incurred in the preparation and opening of a new store location, such as payroll, travel and supplies, but do not include the cost of the initial inventory or capital expenditures required to open a location.</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selling, general, and administrative expenses are primarily influenced by the volume of net sales of our locations, except for our corporate payroll, rent and occupancy and depreciation and amortization, which are generally fixed in nature. We control our selling, general, and administrative expenses through a budgeting and reporting process that allows our personnel to adjust our expenses as trends in net sales activity are identified.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from Operations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Income from operations is gross profit less selling, general, and administrative expenses. We use income from operations as an indicator of the productivity of our business and our ability to manage selling, general, and administrative expenses.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Adjusted EBITDA</w:t>
      </w:r>
    </w:p>
    <w:p>
      <w:pPr>
        <w:spacing w:after="0" w:line="121"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We define Adjusted EBITDA as net loss plus interest expense, income tax benefit, depreciation and amortization, stock-based compensation expense, transition and severance costs related to director and officer transitions, and expenses that we do not believe are indicative of our ongoing expenses. We define Adjusted EBITDA margin as Adjusted EBITDA divided by net sales. In evaluating our business, we use Adjusted EBITDA and Adjusted</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EBITDA margin as additional measurement tools for purposes of business decision-making, including evaluating store performance, developing budgets and managing expenditures. See “—Non-GAAP Financial Measures.”</w:t>
      </w:r>
    </w:p>
    <w:p>
      <w:pPr>
        <w:spacing w:after="0" w:line="15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key components of our results of operations as a percentage of net sales during the periods presented:</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740" w:type="dxa"/>
            <w:vAlign w:val="bottom"/>
          </w:tcPr>
          <w:p>
            <w:pPr>
              <w:spacing w:after="0"/>
              <w:rPr>
                <w:sz w:val="15"/>
                <w:szCs w:val="15"/>
                <w:color w:val="auto"/>
              </w:rPr>
            </w:pPr>
          </w:p>
        </w:tc>
        <w:tc>
          <w:tcPr>
            <w:tcW w:w="3780" w:type="dxa"/>
            <w:vAlign w:val="bottom"/>
            <w:gridSpan w:val="6"/>
          </w:tcPr>
          <w:p>
            <w:pPr>
              <w:ind w:left="100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3720" w:type="dxa"/>
            <w:vAlign w:val="bottom"/>
            <w:gridSpan w:val="5"/>
          </w:tcPr>
          <w:p>
            <w:pPr>
              <w:jc w:val="right"/>
              <w:ind w:right="1180"/>
              <w:spacing w:after="0"/>
              <w:rPr>
                <w:sz w:val="20"/>
                <w:szCs w:val="20"/>
                <w:color w:val="auto"/>
              </w:rPr>
            </w:pPr>
            <w:r>
              <w:rPr>
                <w:rFonts w:ascii="Times New Roman" w:cs="Times New Roman" w:eastAsia="Times New Roman" w:hAnsi="Times New Roman"/>
                <w:sz w:val="14"/>
                <w:szCs w:val="14"/>
                <w:b w:val="1"/>
                <w:bCs w:val="1"/>
                <w:color w:val="auto"/>
              </w:rPr>
              <w:t>Thirty-Nine Weeks Ended</w:t>
            </w:r>
          </w:p>
        </w:tc>
      </w:tr>
      <w:tr>
        <w:trPr>
          <w:trHeight w:val="117"/>
        </w:trPr>
        <w:tc>
          <w:tcPr>
            <w:tcW w:w="3740" w:type="dxa"/>
            <w:vAlign w:val="bottom"/>
          </w:tcPr>
          <w:p>
            <w:pPr>
              <w:spacing w:after="0"/>
              <w:rPr>
                <w:sz w:val="10"/>
                <w:szCs w:val="10"/>
                <w:color w:val="auto"/>
              </w:rPr>
            </w:pPr>
          </w:p>
        </w:tc>
        <w:tc>
          <w:tcPr>
            <w:tcW w:w="1740" w:type="dxa"/>
            <w:vAlign w:val="bottom"/>
            <w:tcBorders>
              <w:top w:val="single" w:sz="8" w:color="auto"/>
            </w:tcBorders>
            <w:gridSpan w:val="2"/>
          </w:tcPr>
          <w:p>
            <w:pPr>
              <w:jc w:val="right"/>
              <w:ind w:right="560"/>
              <w:spacing w:after="0" w:line="118" w:lineRule="exact"/>
              <w:rPr>
                <w:sz w:val="20"/>
                <w:szCs w:val="20"/>
                <w:color w:val="auto"/>
              </w:rPr>
            </w:pPr>
            <w:r>
              <w:rPr>
                <w:rFonts w:ascii="Times New Roman" w:cs="Times New Roman" w:eastAsia="Times New Roman" w:hAnsi="Times New Roman"/>
                <w:sz w:val="13"/>
                <w:szCs w:val="13"/>
                <w:b w:val="1"/>
                <w:bCs w:val="1"/>
                <w:color w:val="auto"/>
              </w:rPr>
              <w:t>November 1,</w:t>
            </w:r>
          </w:p>
        </w:tc>
        <w:tc>
          <w:tcPr>
            <w:tcW w:w="140" w:type="dxa"/>
            <w:vAlign w:val="bottom"/>
            <w:tcBorders>
              <w:top w:val="single" w:sz="8" w:color="auto"/>
            </w:tcBorders>
          </w:tcPr>
          <w:p>
            <w:pPr>
              <w:spacing w:after="0"/>
              <w:rPr>
                <w:sz w:val="10"/>
                <w:szCs w:val="10"/>
                <w:color w:val="auto"/>
              </w:rPr>
            </w:pPr>
          </w:p>
        </w:tc>
        <w:tc>
          <w:tcPr>
            <w:tcW w:w="1560" w:type="dxa"/>
            <w:vAlign w:val="bottom"/>
            <w:tcBorders>
              <w:top w:val="single" w:sz="8" w:color="auto"/>
            </w:tcBorders>
          </w:tcPr>
          <w:p>
            <w:pPr>
              <w:jc w:val="right"/>
              <w:ind w:right="315"/>
              <w:spacing w:after="0" w:line="118" w:lineRule="exact"/>
              <w:rPr>
                <w:sz w:val="20"/>
                <w:szCs w:val="20"/>
                <w:color w:val="auto"/>
              </w:rPr>
            </w:pPr>
            <w:r>
              <w:rPr>
                <w:rFonts w:ascii="Times New Roman" w:cs="Times New Roman" w:eastAsia="Times New Roman" w:hAnsi="Times New Roman"/>
                <w:sz w:val="13"/>
                <w:szCs w:val="13"/>
                <w:b w:val="1"/>
                <w:bCs w:val="1"/>
                <w:color w:val="auto"/>
              </w:rPr>
              <w:t>November 2,</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920" w:type="dxa"/>
            <w:vAlign w:val="bottom"/>
            <w:tcBorders>
              <w:top w:val="single" w:sz="8" w:color="auto"/>
            </w:tcBorders>
            <w:gridSpan w:val="3"/>
          </w:tcPr>
          <w:p>
            <w:pPr>
              <w:ind w:left="400"/>
              <w:spacing w:after="0" w:line="118" w:lineRule="exact"/>
              <w:rPr>
                <w:sz w:val="20"/>
                <w:szCs w:val="20"/>
                <w:color w:val="auto"/>
              </w:rPr>
            </w:pPr>
            <w:r>
              <w:rPr>
                <w:rFonts w:ascii="Times New Roman" w:cs="Times New Roman" w:eastAsia="Times New Roman" w:hAnsi="Times New Roman"/>
                <w:sz w:val="13"/>
                <w:szCs w:val="13"/>
                <w:b w:val="1"/>
                <w:bCs w:val="1"/>
                <w:color w:val="auto"/>
              </w:rPr>
              <w:t>November 1,</w:t>
            </w:r>
          </w:p>
        </w:tc>
        <w:tc>
          <w:tcPr>
            <w:tcW w:w="1580" w:type="dxa"/>
            <w:vAlign w:val="bottom"/>
            <w:tcBorders>
              <w:top w:val="single" w:sz="8" w:color="auto"/>
            </w:tcBorders>
          </w:tcPr>
          <w:p>
            <w:pPr>
              <w:jc w:val="right"/>
              <w:ind w:right="313"/>
              <w:spacing w:after="0" w:line="118" w:lineRule="exact"/>
              <w:rPr>
                <w:sz w:val="20"/>
                <w:szCs w:val="20"/>
                <w:color w:val="auto"/>
              </w:rPr>
            </w:pPr>
            <w:r>
              <w:rPr>
                <w:rFonts w:ascii="Times New Roman" w:cs="Times New Roman" w:eastAsia="Times New Roman" w:hAnsi="Times New Roman"/>
                <w:sz w:val="13"/>
                <w:szCs w:val="13"/>
                <w:b w:val="1"/>
                <w:bCs w:val="1"/>
                <w:color w:val="auto"/>
              </w:rPr>
              <w:t>November 2,</w:t>
            </w:r>
          </w:p>
        </w:tc>
        <w:tc>
          <w:tcPr>
            <w:tcW w:w="220" w:type="dxa"/>
            <w:vAlign w:val="bottom"/>
          </w:tcPr>
          <w:p>
            <w:pPr>
              <w:spacing w:after="0"/>
              <w:rPr>
                <w:sz w:val="10"/>
                <w:szCs w:val="10"/>
                <w:color w:val="auto"/>
              </w:rPr>
            </w:pPr>
          </w:p>
        </w:tc>
      </w:tr>
      <w:tr>
        <w:trPr>
          <w:trHeight w:val="173"/>
        </w:trPr>
        <w:tc>
          <w:tcPr>
            <w:tcW w:w="3740" w:type="dxa"/>
            <w:vAlign w:val="bottom"/>
          </w:tcPr>
          <w:p>
            <w:pPr>
              <w:spacing w:after="0"/>
              <w:rPr>
                <w:sz w:val="15"/>
                <w:szCs w:val="15"/>
                <w:color w:val="auto"/>
              </w:rPr>
            </w:pPr>
          </w:p>
        </w:tc>
        <w:tc>
          <w:tcPr>
            <w:tcW w:w="1580" w:type="dxa"/>
            <w:vAlign w:val="bottom"/>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5"/>
                <w:szCs w:val="15"/>
                <w:color w:val="auto"/>
              </w:rPr>
            </w:pPr>
          </w:p>
        </w:tc>
        <w:tc>
          <w:tcPr>
            <w:tcW w:w="1700" w:type="dxa"/>
            <w:vAlign w:val="bottom"/>
            <w:gridSpan w:val="2"/>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80" w:type="dxa"/>
            <w:vAlign w:val="bottom"/>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80" w:type="dxa"/>
            <w:vAlign w:val="bottom"/>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5"/>
                <w:szCs w:val="15"/>
                <w:color w:val="auto"/>
              </w:rPr>
            </w:pPr>
          </w:p>
        </w:tc>
      </w:tr>
      <w:tr>
        <w:trPr>
          <w:trHeight w:val="210"/>
        </w:trPr>
        <w:tc>
          <w:tcPr>
            <w:tcW w:w="3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Percentage of net sales:</w:t>
            </w:r>
          </w:p>
        </w:tc>
        <w:tc>
          <w:tcPr>
            <w:tcW w:w="1580" w:type="dxa"/>
            <w:vAlign w:val="bottom"/>
            <w:tcBorders>
              <w:top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6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8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8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r>
      <w:tr>
        <w:trPr>
          <w:trHeight w:val="216"/>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Net sales</w:t>
            </w:r>
          </w:p>
        </w:tc>
        <w:tc>
          <w:tcPr>
            <w:tcW w:w="1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c>
          <w:tcPr>
            <w:tcW w:w="19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tcPr>
          <w:p>
            <w:pPr>
              <w:spacing w:after="0"/>
              <w:rPr>
                <w:sz w:val="18"/>
                <w:szCs w:val="18"/>
                <w:color w:val="auto"/>
              </w:rPr>
            </w:pPr>
          </w:p>
        </w:tc>
        <w:tc>
          <w:tcPr>
            <w:tcW w:w="1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tcPr>
          <w:p>
            <w:pPr>
              <w:spacing w:after="0"/>
              <w:rPr>
                <w:sz w:val="18"/>
                <w:szCs w:val="18"/>
                <w:color w:val="auto"/>
              </w:rPr>
            </w:pPr>
          </w:p>
        </w:tc>
        <w:tc>
          <w:tcPr>
            <w:tcW w:w="1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100.0%</w:t>
            </w:r>
          </w:p>
        </w:tc>
      </w:tr>
      <w:tr>
        <w:trPr>
          <w:trHeight w:val="216"/>
        </w:trPr>
        <w:tc>
          <w:tcPr>
            <w:tcW w:w="37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67.2</w:t>
            </w:r>
          </w:p>
        </w:tc>
        <w:tc>
          <w:tcPr>
            <w:tcW w:w="16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68.2</w:t>
            </w:r>
          </w:p>
        </w:tc>
        <w:tc>
          <w:tcPr>
            <w:tcW w:w="2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68.2</w:t>
            </w:r>
          </w:p>
        </w:tc>
        <w:tc>
          <w:tcPr>
            <w:tcW w:w="2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68.9</w:t>
            </w:r>
          </w:p>
        </w:tc>
        <w:tc>
          <w:tcPr>
            <w:tcW w:w="220" w:type="dxa"/>
            <w:vAlign w:val="bottom"/>
            <w:tcBorders>
              <w:bottom w:val="single" w:sz="8" w:color="CFF0FC"/>
            </w:tcBorders>
            <w:shd w:val="clear" w:color="auto" w:fill="CFF0FC"/>
          </w:tcPr>
          <w:p>
            <w:pPr>
              <w:spacing w:after="0"/>
              <w:rPr>
                <w:sz w:val="18"/>
                <w:szCs w:val="18"/>
                <w:color w:val="auto"/>
              </w:rPr>
            </w:pPr>
          </w:p>
        </w:tc>
      </w:tr>
      <w:tr>
        <w:trPr>
          <w:trHeight w:val="210"/>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160" w:type="dxa"/>
            <w:vAlign w:val="bottom"/>
          </w:tcPr>
          <w:p>
            <w:pPr>
              <w:spacing w:after="0"/>
              <w:rPr>
                <w:sz w:val="18"/>
                <w:szCs w:val="18"/>
                <w:color w:val="auto"/>
              </w:rPr>
            </w:pP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220" w:type="dxa"/>
            <w:vAlign w:val="bottom"/>
          </w:tcPr>
          <w:p>
            <w:pPr>
              <w:spacing w:after="0"/>
              <w:rPr>
                <w:sz w:val="18"/>
                <w:szCs w:val="18"/>
                <w:color w:val="auto"/>
              </w:rPr>
            </w:pPr>
          </w:p>
        </w:tc>
      </w:tr>
      <w:tr>
        <w:trPr>
          <w:trHeight w:val="216"/>
        </w:trPr>
        <w:tc>
          <w:tcPr>
            <w:tcW w:w="37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16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2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2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220" w:type="dxa"/>
            <w:vAlign w:val="bottom"/>
            <w:tcBorders>
              <w:bottom w:val="single" w:sz="8" w:color="CFF0FC"/>
            </w:tcBorders>
            <w:shd w:val="clear" w:color="auto" w:fill="CFF0FC"/>
          </w:tcPr>
          <w:p>
            <w:pPr>
              <w:spacing w:after="0"/>
              <w:rPr>
                <w:sz w:val="18"/>
                <w:szCs w:val="18"/>
                <w:color w:val="auto"/>
              </w:rPr>
            </w:pPr>
          </w:p>
        </w:tc>
      </w:tr>
      <w:tr>
        <w:trPr>
          <w:trHeight w:val="209"/>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60" w:type="dxa"/>
            <w:vAlign w:val="bottom"/>
          </w:tcPr>
          <w:p>
            <w:pPr>
              <w:spacing w:after="0"/>
              <w:rPr>
                <w:sz w:val="18"/>
                <w:szCs w:val="18"/>
                <w:color w:val="auto"/>
              </w:rPr>
            </w:pP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Pr>
          <w:p>
            <w:pPr>
              <w:spacing w:after="0"/>
              <w:rPr>
                <w:sz w:val="18"/>
                <w:szCs w:val="18"/>
                <w:color w:val="auto"/>
              </w:rPr>
            </w:pPr>
          </w:p>
        </w:tc>
        <w:tc>
          <w:tcPr>
            <w:tcW w:w="1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3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60" w:type="dxa"/>
            <w:vAlign w:val="bottom"/>
            <w:shd w:val="clear" w:color="auto" w:fill="CFF0FC"/>
          </w:tcPr>
          <w:p>
            <w:pPr>
              <w:spacing w:after="0"/>
              <w:rPr>
                <w:sz w:val="18"/>
                <w:szCs w:val="18"/>
                <w:color w:val="auto"/>
              </w:rPr>
            </w:pPr>
          </w:p>
        </w:tc>
        <w:tc>
          <w:tcPr>
            <w:tcW w:w="1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20" w:type="dxa"/>
            <w:vAlign w:val="bottom"/>
            <w:shd w:val="clear" w:color="auto" w:fill="CFF0FC"/>
          </w:tcPr>
          <w:p>
            <w:pPr>
              <w:spacing w:after="0"/>
              <w:rPr>
                <w:sz w:val="18"/>
                <w:szCs w:val="18"/>
                <w:color w:val="auto"/>
              </w:rPr>
            </w:pPr>
          </w:p>
        </w:tc>
      </w:tr>
      <w:tr>
        <w:trPr>
          <w:trHeight w:val="216"/>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Other losses</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20" w:type="dxa"/>
            <w:vAlign w:val="bottom"/>
          </w:tcPr>
          <w:p>
            <w:pPr>
              <w:spacing w:after="0"/>
              <w:rPr>
                <w:sz w:val="18"/>
                <w:szCs w:val="18"/>
                <w:color w:val="auto"/>
              </w:rPr>
            </w:pPr>
          </w:p>
        </w:tc>
      </w:tr>
      <w:tr>
        <w:trPr>
          <w:trHeight w:val="210"/>
        </w:trPr>
        <w:tc>
          <w:tcPr>
            <w:tcW w:w="3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60" w:type="dxa"/>
            <w:vAlign w:val="bottom"/>
            <w:shd w:val="clear" w:color="auto" w:fill="CFF0FC"/>
          </w:tcPr>
          <w:p>
            <w:pPr>
              <w:spacing w:after="0"/>
              <w:rPr>
                <w:sz w:val="18"/>
                <w:szCs w:val="18"/>
                <w:color w:val="auto"/>
              </w:rPr>
            </w:pPr>
          </w:p>
        </w:tc>
        <w:tc>
          <w:tcPr>
            <w:tcW w:w="192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shd w:val="clear" w:color="auto" w:fill="CFF0FC"/>
          </w:tcPr>
          <w:p>
            <w:pPr>
              <w:spacing w:after="0"/>
              <w:rPr>
                <w:sz w:val="18"/>
                <w:szCs w:val="18"/>
                <w:color w:val="auto"/>
              </w:rPr>
            </w:pPr>
          </w:p>
        </w:tc>
        <w:tc>
          <w:tcPr>
            <w:tcW w:w="18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shd w:val="clear" w:color="auto" w:fill="CFF0FC"/>
          </w:tcPr>
          <w:p>
            <w:pPr>
              <w:spacing w:after="0"/>
              <w:rPr>
                <w:sz w:val="18"/>
                <w:szCs w:val="18"/>
                <w:color w:val="auto"/>
              </w:rPr>
            </w:pPr>
          </w:p>
        </w:tc>
        <w:tc>
          <w:tcPr>
            <w:tcW w:w="18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18"/>
                <w:szCs w:val="18"/>
                <w:color w:val="auto"/>
              </w:rPr>
            </w:pPr>
          </w:p>
        </w:tc>
        <w:tc>
          <w:tcPr>
            <w:tcW w:w="1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(0.9)</w:t>
            </w:r>
          </w:p>
        </w:tc>
      </w:tr>
      <w:tr>
        <w:trPr>
          <w:trHeight w:val="20"/>
        </w:trPr>
        <w:tc>
          <w:tcPr>
            <w:tcW w:w="3740" w:type="dxa"/>
            <w:vAlign w:val="bottom"/>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29"/>
        </w:trPr>
        <w:tc>
          <w:tcPr>
            <w:tcW w:w="3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7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0.0%</w:t>
            </w:r>
          </w:p>
        </w:tc>
        <w:tc>
          <w:tcPr>
            <w:tcW w:w="192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shd w:val="clear" w:color="auto" w:fill="CFF0FC"/>
          </w:tcPr>
          <w:p>
            <w:pPr>
              <w:spacing w:after="0"/>
              <w:rPr>
                <w:sz w:val="19"/>
                <w:szCs w:val="19"/>
                <w:color w:val="auto"/>
              </w:rPr>
            </w:pPr>
          </w:p>
        </w:tc>
        <w:tc>
          <w:tcPr>
            <w:tcW w:w="18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shd w:val="clear" w:color="auto" w:fill="CFF0FC"/>
          </w:tcPr>
          <w:p>
            <w:pPr>
              <w:spacing w:after="0"/>
              <w:rPr>
                <w:sz w:val="19"/>
                <w:szCs w:val="19"/>
                <w:color w:val="auto"/>
              </w:rPr>
            </w:pPr>
          </w:p>
        </w:tc>
        <w:tc>
          <w:tcPr>
            <w:tcW w:w="18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(2.8)%</w:t>
            </w:r>
          </w:p>
        </w:tc>
      </w:tr>
      <w:tr>
        <w:trPr>
          <w:trHeight w:val="20"/>
        </w:trPr>
        <w:tc>
          <w:tcPr>
            <w:tcW w:w="3740" w:type="dxa"/>
            <w:vAlign w:val="bottom"/>
            <w:tcBorders>
              <w:top w:val="single" w:sz="8" w:color="CFF0FC"/>
            </w:tcBorders>
            <w:shd w:val="clear" w:color="auto" w:fill="CFF0FC"/>
          </w:tcPr>
          <w:p>
            <w:pPr>
              <w:spacing w:after="0" w:line="20" w:lineRule="exact"/>
              <w:rPr>
                <w:sz w:val="1"/>
                <w:szCs w:val="1"/>
                <w:color w:val="auto"/>
              </w:rPr>
            </w:pPr>
          </w:p>
        </w:tc>
        <w:tc>
          <w:tcPr>
            <w:tcW w:w="15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5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5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5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r>
      <w:tr>
        <w:trPr>
          <w:trHeight w:val="197"/>
        </w:trPr>
        <w:tc>
          <w:tcPr>
            <w:tcW w:w="37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Adjusted EBITDA</w:t>
            </w:r>
          </w:p>
        </w:tc>
        <w:tc>
          <w:tcPr>
            <w:tcW w:w="17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5.6%</w:t>
            </w:r>
          </w:p>
        </w:tc>
        <w:tc>
          <w:tcPr>
            <w:tcW w:w="1920" w:type="dxa"/>
            <w:vAlign w:val="bottom"/>
            <w:gridSpan w:val="3"/>
          </w:tcPr>
          <w:p>
            <w:pPr>
              <w:jc w:val="right"/>
              <w:ind w:right="80"/>
              <w:spacing w:after="0" w:line="196" w:lineRule="exact"/>
              <w:rPr>
                <w:sz w:val="20"/>
                <w:szCs w:val="20"/>
                <w:color w:val="auto"/>
              </w:rPr>
            </w:pPr>
            <w:r>
              <w:rPr>
                <w:rFonts w:ascii="Times New Roman" w:cs="Times New Roman" w:eastAsia="Times New Roman" w:hAnsi="Times New Roman"/>
                <w:sz w:val="18"/>
                <w:szCs w:val="18"/>
                <w:color w:val="auto"/>
              </w:rPr>
              <w:t>5.1%</w:t>
            </w:r>
          </w:p>
        </w:tc>
        <w:tc>
          <w:tcPr>
            <w:tcW w:w="120" w:type="dxa"/>
            <w:vAlign w:val="bottom"/>
          </w:tcPr>
          <w:p>
            <w:pPr>
              <w:spacing w:after="0"/>
              <w:rPr>
                <w:sz w:val="17"/>
                <w:szCs w:val="17"/>
                <w:color w:val="auto"/>
              </w:rPr>
            </w:pPr>
          </w:p>
        </w:tc>
        <w:tc>
          <w:tcPr>
            <w:tcW w:w="1800" w:type="dxa"/>
            <w:vAlign w:val="bottom"/>
            <w:gridSpan w:val="2"/>
          </w:tcPr>
          <w:p>
            <w:pPr>
              <w:jc w:val="right"/>
              <w:ind w:right="80"/>
              <w:spacing w:after="0" w:line="196" w:lineRule="exact"/>
              <w:rPr>
                <w:sz w:val="20"/>
                <w:szCs w:val="20"/>
                <w:color w:val="auto"/>
              </w:rPr>
            </w:pPr>
            <w:r>
              <w:rPr>
                <w:rFonts w:ascii="Times New Roman" w:cs="Times New Roman" w:eastAsia="Times New Roman" w:hAnsi="Times New Roman"/>
                <w:sz w:val="18"/>
                <w:szCs w:val="18"/>
                <w:color w:val="auto"/>
              </w:rPr>
              <w:t>2.0%</w:t>
            </w:r>
          </w:p>
        </w:tc>
        <w:tc>
          <w:tcPr>
            <w:tcW w:w="120" w:type="dxa"/>
            <w:vAlign w:val="bottom"/>
          </w:tcPr>
          <w:p>
            <w:pPr>
              <w:spacing w:after="0"/>
              <w:rPr>
                <w:sz w:val="17"/>
                <w:szCs w:val="17"/>
                <w:color w:val="auto"/>
              </w:rPr>
            </w:pPr>
          </w:p>
        </w:tc>
        <w:tc>
          <w:tcPr>
            <w:tcW w:w="1800" w:type="dxa"/>
            <w:vAlign w:val="bottom"/>
            <w:gridSpan w:val="2"/>
          </w:tcPr>
          <w:p>
            <w:pPr>
              <w:jc w:val="right"/>
              <w:ind w:right="80"/>
              <w:spacing w:after="0" w:line="196" w:lineRule="exact"/>
              <w:rPr>
                <w:sz w:val="20"/>
                <w:szCs w:val="20"/>
                <w:color w:val="auto"/>
              </w:rPr>
            </w:pPr>
            <w:r>
              <w:rPr>
                <w:rFonts w:ascii="Times New Roman" w:cs="Times New Roman" w:eastAsia="Times New Roman" w:hAnsi="Times New Roman"/>
                <w:sz w:val="18"/>
                <w:szCs w:val="18"/>
                <w:color w:val="auto"/>
              </w:rPr>
              <w:t>1.8%</w:t>
            </w:r>
          </w:p>
        </w:tc>
      </w:tr>
      <w:tr>
        <w:trPr>
          <w:trHeight w:val="20"/>
        </w:trPr>
        <w:tc>
          <w:tcPr>
            <w:tcW w:w="3740" w:type="dxa"/>
            <w:vAlign w:val="bottom"/>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845"/>
        </w:trPr>
        <w:tc>
          <w:tcPr>
            <w:tcW w:w="37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00" w:type="dxa"/>
            <w:vAlign w:val="bottom"/>
            <w:gridSpan w:val="2"/>
          </w:tcPr>
          <w:p>
            <w:pPr>
              <w:jc w:val="right"/>
              <w:ind w:right="1375"/>
              <w:spacing w:after="0"/>
              <w:rPr>
                <w:sz w:val="20"/>
                <w:szCs w:val="20"/>
                <w:color w:val="auto"/>
              </w:rPr>
            </w:pPr>
            <w:r>
              <w:rPr>
                <w:rFonts w:ascii="Times New Roman" w:cs="Times New Roman" w:eastAsia="Times New Roman" w:hAnsi="Times New Roman"/>
                <w:sz w:val="18"/>
                <w:szCs w:val="18"/>
                <w:color w:val="auto"/>
              </w:rPr>
              <w:t>26</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763"/>
        </w:trPr>
        <w:tc>
          <w:tcPr>
            <w:tcW w:w="374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3373755</wp:posOffset>
            </wp:positionH>
            <wp:positionV relativeFrom="paragraph">
              <wp:posOffset>-2365375</wp:posOffset>
            </wp:positionV>
            <wp:extent cx="11176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-2365375</wp:posOffset>
            </wp:positionV>
            <wp:extent cx="14605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-2365375</wp:posOffset>
            </wp:positionV>
            <wp:extent cx="145415"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-2365375</wp:posOffset>
            </wp:positionV>
            <wp:extent cx="145415"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3373755</wp:posOffset>
            </wp:positionH>
            <wp:positionV relativeFrom="paragraph">
              <wp:posOffset>-2082165</wp:posOffset>
            </wp:positionV>
            <wp:extent cx="11176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-2082165</wp:posOffset>
            </wp:positionV>
            <wp:extent cx="14605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-2082165</wp:posOffset>
            </wp:positionV>
            <wp:extent cx="145415"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-2082165</wp:posOffset>
            </wp:positionV>
            <wp:extent cx="145415"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3373755</wp:posOffset>
            </wp:positionH>
            <wp:positionV relativeFrom="paragraph">
              <wp:posOffset>-1233805</wp:posOffset>
            </wp:positionV>
            <wp:extent cx="111760"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3373755</wp:posOffset>
            </wp:positionH>
            <wp:positionV relativeFrom="paragraph">
              <wp:posOffset>-1216660</wp:posOffset>
            </wp:positionV>
            <wp:extent cx="11176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-1233805</wp:posOffset>
            </wp:positionV>
            <wp:extent cx="14605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-1216660</wp:posOffset>
            </wp:positionV>
            <wp:extent cx="14605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-1233805</wp:posOffset>
            </wp:positionV>
            <wp:extent cx="145415"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145415" cy="8890"/>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-1216660</wp:posOffset>
            </wp:positionV>
            <wp:extent cx="145415"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-1233805</wp:posOffset>
            </wp:positionV>
            <wp:extent cx="145415"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145415" cy="8890"/>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-1216660</wp:posOffset>
            </wp:positionV>
            <wp:extent cx="145415"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145415" cy="825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our percentage of net sales by department during the periods presented:</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40" w:type="dxa"/>
            <w:vAlign w:val="bottom"/>
            <w:gridSpan w:val="6"/>
          </w:tcPr>
          <w:p>
            <w:pPr>
              <w:ind w:left="42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2500" w:type="dxa"/>
            <w:vAlign w:val="bottom"/>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Thirty-Nine Weeks Ended</w:t>
            </w:r>
          </w:p>
        </w:tc>
        <w:tc>
          <w:tcPr>
            <w:tcW w:w="0" w:type="dxa"/>
            <w:vAlign w:val="bottom"/>
          </w:tcPr>
          <w:p>
            <w:pPr>
              <w:spacing w:after="0"/>
              <w:rPr>
                <w:sz w:val="1"/>
                <w:szCs w:val="1"/>
                <w:color w:val="auto"/>
              </w:rPr>
            </w:pPr>
          </w:p>
        </w:tc>
      </w:tr>
      <w:tr>
        <w:trPr>
          <w:trHeight w:val="117"/>
        </w:trPr>
        <w:tc>
          <w:tcPr>
            <w:tcW w:w="28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Department</w:t>
            </w:r>
          </w:p>
        </w:tc>
        <w:tc>
          <w:tcPr>
            <w:tcW w:w="120" w:type="dxa"/>
            <w:vAlign w:val="bottom"/>
          </w:tcPr>
          <w:p>
            <w:pPr>
              <w:spacing w:after="0"/>
              <w:rPr>
                <w:sz w:val="10"/>
                <w:szCs w:val="10"/>
                <w:color w:val="auto"/>
              </w:rPr>
            </w:pPr>
          </w:p>
        </w:tc>
        <w:tc>
          <w:tcPr>
            <w:tcW w:w="3140" w:type="dxa"/>
            <w:vAlign w:val="bottom"/>
            <w:vMerge w:val="restart"/>
          </w:tcPr>
          <w:p>
            <w:pPr>
              <w:ind w:left="1000"/>
              <w:spacing w:after="0"/>
              <w:rPr>
                <w:sz w:val="20"/>
                <w:szCs w:val="20"/>
                <w:color w:val="auto"/>
              </w:rPr>
            </w:pPr>
            <w:r>
              <w:rPr>
                <w:rFonts w:ascii="Times New Roman" w:cs="Times New Roman" w:eastAsia="Times New Roman" w:hAnsi="Times New Roman"/>
                <w:sz w:val="14"/>
                <w:szCs w:val="14"/>
                <w:b w:val="1"/>
                <w:bCs w:val="1"/>
                <w:color w:val="auto"/>
              </w:rPr>
              <w:t>Product Offerings</w:t>
            </w:r>
          </w:p>
        </w:tc>
        <w:tc>
          <w:tcPr>
            <w:tcW w:w="100" w:type="dxa"/>
            <w:vAlign w:val="bottom"/>
            <w:vMerge w:val="restart"/>
          </w:tcPr>
          <w:p>
            <w:pPr>
              <w:spacing w:after="0"/>
              <w:rPr>
                <w:sz w:val="10"/>
                <w:szCs w:val="10"/>
                <w:color w:val="auto"/>
              </w:rPr>
            </w:pPr>
          </w:p>
        </w:tc>
        <w:tc>
          <w:tcPr>
            <w:tcW w:w="1280" w:type="dxa"/>
            <w:vAlign w:val="bottom"/>
            <w:tcBorders>
              <w:top w:val="single" w:sz="8" w:color="auto"/>
            </w:tcBorders>
            <w:gridSpan w:val="3"/>
          </w:tcPr>
          <w:p>
            <w:pPr>
              <w:jc w:val="center"/>
              <w:ind w:right="300"/>
              <w:spacing w:after="0" w:line="118" w:lineRule="exact"/>
              <w:rPr>
                <w:sz w:val="20"/>
                <w:szCs w:val="20"/>
                <w:color w:val="auto"/>
              </w:rPr>
            </w:pPr>
            <w:r>
              <w:rPr>
                <w:rFonts w:ascii="Times New Roman" w:cs="Times New Roman" w:eastAsia="Times New Roman" w:hAnsi="Times New Roman"/>
                <w:sz w:val="13"/>
                <w:szCs w:val="13"/>
                <w:b w:val="1"/>
                <w:bCs w:val="1"/>
                <w:color w:val="auto"/>
              </w:rPr>
              <w:t>November 1,</w:t>
            </w:r>
          </w:p>
        </w:tc>
        <w:tc>
          <w:tcPr>
            <w:tcW w:w="98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November 2,</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80" w:type="dxa"/>
            <w:vAlign w:val="bottom"/>
            <w:tcBorders>
              <w:top w:val="single" w:sz="8" w:color="auto"/>
            </w:tcBorders>
            <w:gridSpan w:val="3"/>
          </w:tcPr>
          <w:p>
            <w:pPr>
              <w:ind w:left="100"/>
              <w:spacing w:after="0" w:line="118" w:lineRule="exact"/>
              <w:rPr>
                <w:sz w:val="20"/>
                <w:szCs w:val="20"/>
                <w:color w:val="auto"/>
              </w:rPr>
            </w:pPr>
            <w:r>
              <w:rPr>
                <w:rFonts w:ascii="Times New Roman" w:cs="Times New Roman" w:eastAsia="Times New Roman" w:hAnsi="Times New Roman"/>
                <w:sz w:val="13"/>
                <w:szCs w:val="13"/>
                <w:b w:val="1"/>
                <w:bCs w:val="1"/>
                <w:color w:val="auto"/>
              </w:rPr>
              <w:t>November 1,</w:t>
            </w:r>
          </w:p>
        </w:tc>
        <w:tc>
          <w:tcPr>
            <w:tcW w:w="104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November 2,</w:t>
            </w: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84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314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98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2840" w:type="dxa"/>
            <w:vAlign w:val="bottom"/>
            <w:shd w:val="clear" w:color="auto" w:fill="CFF0FC"/>
          </w:tcPr>
          <w:p>
            <w:pPr>
              <w:spacing w:after="0" w:line="191" w:lineRule="exact"/>
              <w:rPr>
                <w:sz w:val="20"/>
                <w:szCs w:val="20"/>
                <w:color w:val="auto"/>
              </w:rPr>
            </w:pPr>
            <w:r>
              <w:rPr>
                <w:rFonts w:ascii="Times New Roman" w:cs="Times New Roman" w:eastAsia="Times New Roman" w:hAnsi="Times New Roman"/>
                <w:sz w:val="18"/>
                <w:szCs w:val="18"/>
                <w:color w:val="auto"/>
              </w:rPr>
              <w:t>Camping</w:t>
            </w:r>
          </w:p>
        </w:tc>
        <w:tc>
          <w:tcPr>
            <w:tcW w:w="120" w:type="dxa"/>
            <w:vAlign w:val="bottom"/>
            <w:shd w:val="clear" w:color="auto" w:fill="CFF0FC"/>
          </w:tcPr>
          <w:p>
            <w:pPr>
              <w:spacing w:after="0"/>
              <w:rPr>
                <w:sz w:val="16"/>
                <w:szCs w:val="16"/>
                <w:color w:val="auto"/>
              </w:rPr>
            </w:pPr>
          </w:p>
        </w:tc>
        <w:tc>
          <w:tcPr>
            <w:tcW w:w="3240" w:type="dxa"/>
            <w:vAlign w:val="bottom"/>
            <w:gridSpan w:val="2"/>
            <w:shd w:val="clear" w:color="auto" w:fill="CFF0FC"/>
          </w:tcPr>
          <w:p>
            <w:pPr>
              <w:spacing w:after="0" w:line="191" w:lineRule="exact"/>
              <w:rPr>
                <w:sz w:val="20"/>
                <w:szCs w:val="20"/>
                <w:color w:val="auto"/>
              </w:rPr>
            </w:pPr>
            <w:r>
              <w:rPr>
                <w:rFonts w:ascii="Times New Roman" w:cs="Times New Roman" w:eastAsia="Times New Roman" w:hAnsi="Times New Roman"/>
                <w:sz w:val="18"/>
                <w:szCs w:val="18"/>
                <w:color w:val="auto"/>
              </w:rPr>
              <w:t>Backpacks, camp essentials, canoes and</w:t>
            </w:r>
          </w:p>
        </w:tc>
        <w:tc>
          <w:tcPr>
            <w:tcW w:w="9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8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2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kayaks, coolers, outdoor cooking</w:t>
            </w:r>
          </w:p>
        </w:tc>
        <w:tc>
          <w:tcPr>
            <w:tcW w:w="9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8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32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equipment, sleeping bags, tents and tools</w:t>
            </w:r>
          </w:p>
        </w:tc>
        <w:tc>
          <w:tcPr>
            <w:tcW w:w="11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r>
        <w:trPr>
          <w:trHeight w:val="198"/>
        </w:trPr>
        <w:tc>
          <w:tcPr>
            <w:tcW w:w="28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Apparel</w:t>
            </w:r>
          </w:p>
        </w:tc>
        <w:tc>
          <w:tcPr>
            <w:tcW w:w="120" w:type="dxa"/>
            <w:vAlign w:val="bottom"/>
          </w:tcPr>
          <w:p>
            <w:pPr>
              <w:spacing w:after="0"/>
              <w:rPr>
                <w:sz w:val="17"/>
                <w:szCs w:val="17"/>
                <w:color w:val="auto"/>
              </w:rPr>
            </w:pPr>
          </w:p>
        </w:tc>
        <w:tc>
          <w:tcPr>
            <w:tcW w:w="32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Camouflage, jackets, hats, outerwear,</w:t>
            </w: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sportswear, technical gear and work wear</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8.2%</w:t>
            </w:r>
          </w:p>
        </w:tc>
        <w:tc>
          <w:tcPr>
            <w:tcW w:w="120" w:type="dxa"/>
            <w:vAlign w:val="bottom"/>
          </w:tcPr>
          <w:p>
            <w:pPr>
              <w:spacing w:after="0"/>
              <w:rPr>
                <w:sz w:val="20"/>
                <w:szCs w:val="20"/>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tcPr>
          <w:p>
            <w:pPr>
              <w:spacing w:after="0"/>
              <w:rPr>
                <w:sz w:val="20"/>
                <w:szCs w:val="20"/>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Pr>
          <w:p>
            <w:pPr>
              <w:spacing w:after="0"/>
              <w:rPr>
                <w:sz w:val="20"/>
                <w:szCs w:val="20"/>
                <w:color w:val="auto"/>
              </w:rPr>
            </w:pP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198"/>
        </w:trPr>
        <w:tc>
          <w:tcPr>
            <w:tcW w:w="284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Fishing</w:t>
            </w:r>
          </w:p>
        </w:tc>
        <w:tc>
          <w:tcPr>
            <w:tcW w:w="120" w:type="dxa"/>
            <w:vAlign w:val="bottom"/>
            <w:shd w:val="clear" w:color="auto" w:fill="CFF0FC"/>
          </w:tcPr>
          <w:p>
            <w:pPr>
              <w:spacing w:after="0"/>
              <w:rPr>
                <w:sz w:val="17"/>
                <w:szCs w:val="17"/>
                <w:color w:val="auto"/>
              </w:rPr>
            </w:pPr>
          </w:p>
        </w:tc>
        <w:tc>
          <w:tcPr>
            <w:tcW w:w="3240" w:type="dxa"/>
            <w:vAlign w:val="bottom"/>
            <w:gridSpan w:val="2"/>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Bait, electronics, fishing rods, flotation</w:t>
            </w:r>
          </w:p>
        </w:tc>
        <w:tc>
          <w:tcPr>
            <w:tcW w:w="9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8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2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items, fly fishing, lines, lures, reels, tackle</w:t>
            </w:r>
          </w:p>
        </w:tc>
        <w:tc>
          <w:tcPr>
            <w:tcW w:w="9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8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32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and small boats</w:t>
            </w:r>
          </w:p>
        </w:tc>
        <w:tc>
          <w:tcPr>
            <w:tcW w:w="11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9.0%</w:t>
            </w:r>
          </w:p>
        </w:tc>
        <w:tc>
          <w:tcPr>
            <w:tcW w:w="12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13.0%</w:t>
            </w:r>
          </w:p>
        </w:tc>
        <w:tc>
          <w:tcPr>
            <w:tcW w:w="10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11.9%</w:t>
            </w:r>
          </w:p>
        </w:tc>
        <w:tc>
          <w:tcPr>
            <w:tcW w:w="0" w:type="dxa"/>
            <w:vAlign w:val="bottom"/>
          </w:tcPr>
          <w:p>
            <w:pPr>
              <w:spacing w:after="0"/>
              <w:rPr>
                <w:sz w:val="1"/>
                <w:szCs w:val="1"/>
                <w:color w:val="auto"/>
              </w:rPr>
            </w:pPr>
          </w:p>
        </w:tc>
      </w:tr>
      <w:tr>
        <w:trPr>
          <w:trHeight w:val="198"/>
        </w:trPr>
        <w:tc>
          <w:tcPr>
            <w:tcW w:w="28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Footwear</w:t>
            </w:r>
          </w:p>
        </w:tc>
        <w:tc>
          <w:tcPr>
            <w:tcW w:w="120" w:type="dxa"/>
            <w:vAlign w:val="bottom"/>
          </w:tcPr>
          <w:p>
            <w:pPr>
              <w:spacing w:after="0"/>
              <w:rPr>
                <w:sz w:val="17"/>
                <w:szCs w:val="17"/>
                <w:color w:val="auto"/>
              </w:rPr>
            </w:pPr>
          </w:p>
        </w:tc>
        <w:tc>
          <w:tcPr>
            <w:tcW w:w="32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Hiking boots, socks, sport sandals,</w:t>
            </w: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technical footwear, trail shoes, casual</w:t>
            </w: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shoes, waders and work boots</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5.7%</w:t>
            </w:r>
          </w:p>
        </w:tc>
        <w:tc>
          <w:tcPr>
            <w:tcW w:w="120" w:type="dxa"/>
            <w:vAlign w:val="bottom"/>
          </w:tcPr>
          <w:p>
            <w:pPr>
              <w:spacing w:after="0"/>
              <w:rPr>
                <w:sz w:val="20"/>
                <w:szCs w:val="20"/>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Pr>
          <w:p>
            <w:pPr>
              <w:spacing w:after="0"/>
              <w:rPr>
                <w:sz w:val="20"/>
                <w:szCs w:val="20"/>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Pr>
          <w:p>
            <w:pPr>
              <w:spacing w:after="0"/>
              <w:rPr>
                <w:sz w:val="20"/>
                <w:szCs w:val="20"/>
                <w:color w:val="auto"/>
              </w:rPr>
            </w:pP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198"/>
        </w:trPr>
        <w:tc>
          <w:tcPr>
            <w:tcW w:w="284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Hunting and Shooting</w:t>
            </w:r>
          </w:p>
        </w:tc>
        <w:tc>
          <w:tcPr>
            <w:tcW w:w="120" w:type="dxa"/>
            <w:vAlign w:val="bottom"/>
            <w:shd w:val="clear" w:color="auto" w:fill="CFF0FC"/>
          </w:tcPr>
          <w:p>
            <w:pPr>
              <w:spacing w:after="0"/>
              <w:rPr>
                <w:sz w:val="17"/>
                <w:szCs w:val="17"/>
                <w:color w:val="auto"/>
              </w:rPr>
            </w:pPr>
          </w:p>
        </w:tc>
        <w:tc>
          <w:tcPr>
            <w:tcW w:w="3240" w:type="dxa"/>
            <w:vAlign w:val="bottom"/>
            <w:gridSpan w:val="2"/>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Ammunition, archery items, ATV</w:t>
            </w:r>
          </w:p>
        </w:tc>
        <w:tc>
          <w:tcPr>
            <w:tcW w:w="9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8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2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accessories, blinds and tree stands, decoys,</w:t>
            </w:r>
          </w:p>
        </w:tc>
        <w:tc>
          <w:tcPr>
            <w:tcW w:w="9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2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firearms, reloading equipment and</w:t>
            </w:r>
          </w:p>
        </w:tc>
        <w:tc>
          <w:tcPr>
            <w:tcW w:w="9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8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32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shooting gear</w:t>
            </w:r>
          </w:p>
        </w:tc>
        <w:tc>
          <w:tcPr>
            <w:tcW w:w="11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59.7%</w:t>
            </w:r>
          </w:p>
        </w:tc>
        <w:tc>
          <w:tcPr>
            <w:tcW w:w="12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57.9%</w:t>
            </w:r>
          </w:p>
        </w:tc>
        <w:tc>
          <w:tcPr>
            <w:tcW w:w="10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57.2%</w:t>
            </w:r>
          </w:p>
        </w:tc>
        <w:tc>
          <w:tcPr>
            <w:tcW w:w="10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56.2%</w:t>
            </w:r>
          </w:p>
        </w:tc>
        <w:tc>
          <w:tcPr>
            <w:tcW w:w="0" w:type="dxa"/>
            <w:vAlign w:val="bottom"/>
          </w:tcPr>
          <w:p>
            <w:pPr>
              <w:spacing w:after="0"/>
              <w:rPr>
                <w:sz w:val="1"/>
                <w:szCs w:val="1"/>
                <w:color w:val="auto"/>
              </w:rPr>
            </w:pPr>
          </w:p>
        </w:tc>
      </w:tr>
      <w:tr>
        <w:trPr>
          <w:trHeight w:val="198"/>
        </w:trPr>
        <w:tc>
          <w:tcPr>
            <w:tcW w:w="28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Optics, Electronics, Accessories, and</w:t>
            </w:r>
          </w:p>
        </w:tc>
        <w:tc>
          <w:tcPr>
            <w:tcW w:w="120" w:type="dxa"/>
            <w:vAlign w:val="bottom"/>
          </w:tcPr>
          <w:p>
            <w:pPr>
              <w:spacing w:after="0"/>
              <w:rPr>
                <w:sz w:val="17"/>
                <w:szCs w:val="17"/>
                <w:color w:val="auto"/>
              </w:rPr>
            </w:pPr>
          </w:p>
        </w:tc>
        <w:tc>
          <w:tcPr>
            <w:tcW w:w="32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Gift items, GPS devices, knives, lighting,</w:t>
            </w: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Pr>
          <w:p>
            <w:pPr>
              <w:spacing w:after="0"/>
              <w:rPr>
                <w:sz w:val="18"/>
                <w:szCs w:val="18"/>
                <w:color w:val="auto"/>
              </w:rPr>
            </w:pPr>
          </w:p>
        </w:tc>
        <w:tc>
          <w:tcPr>
            <w:tcW w:w="3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optics, two-way radios, and other license</w:t>
            </w:r>
          </w:p>
        </w:tc>
        <w:tc>
          <w:tcPr>
            <w:tcW w:w="116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7.0%</w:t>
            </w:r>
          </w:p>
        </w:tc>
        <w:tc>
          <w:tcPr>
            <w:tcW w:w="120" w:type="dxa"/>
            <w:vAlign w:val="bottom"/>
          </w:tcPr>
          <w:p>
            <w:pPr>
              <w:spacing w:after="0"/>
              <w:rPr>
                <w:sz w:val="18"/>
                <w:szCs w:val="18"/>
                <w:color w:val="auto"/>
              </w:rPr>
            </w:pPr>
          </w:p>
        </w:tc>
        <w:tc>
          <w:tcPr>
            <w:tcW w:w="11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tcPr>
          <w:p>
            <w:pPr>
              <w:spacing w:after="0"/>
              <w:rPr>
                <w:sz w:val="18"/>
                <w:szCs w:val="18"/>
                <w:color w:val="auto"/>
              </w:rPr>
            </w:pPr>
          </w:p>
        </w:tc>
        <w:tc>
          <w:tcPr>
            <w:tcW w:w="11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Pr>
          <w:p>
            <w:pPr>
              <w:spacing w:after="0"/>
              <w:rPr>
                <w:sz w:val="18"/>
                <w:szCs w:val="18"/>
                <w:color w:val="auto"/>
              </w:rPr>
            </w:pPr>
          </w:p>
        </w:tc>
        <w:tc>
          <w:tcPr>
            <w:tcW w:w="12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21"/>
        </w:trPr>
        <w:tc>
          <w:tcPr>
            <w:tcW w:w="2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revenue, net of revenue discounts</w:t>
            </w:r>
          </w:p>
        </w:tc>
        <w:tc>
          <w:tcPr>
            <w:tcW w:w="116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shd w:val="clear" w:color="auto" w:fill="CFF0FC"/>
          </w:tcPr>
          <w:p>
            <w:pPr>
              <w:spacing w:after="0"/>
              <w:rPr>
                <w:sz w:val="19"/>
                <w:szCs w:val="19"/>
                <w:color w:val="auto"/>
              </w:rPr>
            </w:pPr>
          </w:p>
        </w:tc>
        <w:tc>
          <w:tcPr>
            <w:tcW w:w="3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0"/>
        </w:trPr>
        <w:tc>
          <w:tcPr>
            <w:tcW w:w="28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3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4565650</wp:posOffset>
            </wp:positionH>
            <wp:positionV relativeFrom="paragraph">
              <wp:posOffset>-24765</wp:posOffset>
            </wp:positionV>
            <wp:extent cx="111125"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-7620</wp:posOffset>
            </wp:positionV>
            <wp:extent cx="111125"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-24765</wp:posOffset>
            </wp:positionV>
            <wp:extent cx="111125"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-7620</wp:posOffset>
            </wp:positionV>
            <wp:extent cx="111125"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-24765</wp:posOffset>
            </wp:positionV>
            <wp:extent cx="111125"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-7620</wp:posOffset>
            </wp:positionV>
            <wp:extent cx="111125"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-24765</wp:posOffset>
            </wp:positionV>
            <wp:extent cx="11176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-7620</wp:posOffset>
            </wp:positionV>
            <wp:extent cx="11176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111760" cy="8255"/>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Thirteen Weeks Ended November 1, 2025 Compared to Thirteen Weeks Ended November 2, 2024</w:t>
      </w:r>
    </w:p>
    <w:p>
      <w:pPr>
        <w:spacing w:after="0" w:line="117"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Net Sales and Same Store Sales. </w:t>
      </w:r>
      <w:r>
        <w:rPr>
          <w:rFonts w:ascii="Times New Roman" w:cs="Times New Roman" w:eastAsia="Times New Roman" w:hAnsi="Times New Roman"/>
          <w:sz w:val="18"/>
          <w:szCs w:val="18"/>
          <w:color w:val="auto"/>
        </w:rPr>
        <w:t>Net sales increased by $7.0 million, or 2.2%, to $331.3 million during the 13 weeks ended November 1, 2025 compared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$324.3 million in the corresponding period of fiscal year 2024. Our net sales increased primarily due to increased sales in our Hunting and Shooting, Fishing and Apparel departments as we continue to emphasize inventory in-stocks, and our focused strategy to win the seasons in hunting and fishing to ensure we have the right inventory at the right location at the right time. In addition, the sales growth was driven by our strategic decision to lean into personal protection, including less-lethal alternatives. E-commerce driven sales comprised approximately 19% of total sales for the 13 weeks ended November 1, 2025 and increased by more than 8% compared to the corresponding period in fiscal year 2024, led by our new digital-first marketing strategy. Same store sales increased by 2.2% during the 13 weeks ended November 1, 2025 compared to the corresponding 13-week period of fiscal year 2024, primarily as a result of our improved inventory management and digital marketing efforts.</w:t>
      </w:r>
    </w:p>
    <w:p>
      <w:pPr>
        <w:spacing w:after="0" w:line="216"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Our Hunting and Shooting, Fishing and Apparel departments saw net sales increases of $9.9 million, $3.7 million and $0.4 million, respectively, during the 13 weeks ended November 1, 2025 compared to the corresponding period of fiscal year 2024 primarily driven by increased unit sales due to our continued emphasis on maintaining sufficient inventory in-stocks of core items. Additionally, this growth was driven by our focused strategy to win the seasons in hunting and fishing to ensure we have the right inventory at the right location at the right time and by our strategic decision to lean into personal protection, including less-lethal alternatives. Our Camping, Optics, Electronics, Accessories and Other and Footwear departments saw net sales decreases of $3.2 million, $2.8 million and $1.0 million, respectively, during the 13 weeks ended November 1, 2025 compared to the corresponding period of fiscal</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year 2024. We believe these decreases reflect the impact of broader macroeconomic conditions effecting the economy and US consumer, which includes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categories that are highly discretionary in nature. Within our Hunting and Shooting department, our firearm and ammunition categories saw increases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$2.9 million and $0.8 million or 4.3% and 1.6%, respectively, during the 13 weeks ended November 1, 2025 compared to the corresponding period of fiscal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year 2024. The increase in these categories was primarily due to our efforts to ensure every day low pricing in key product groups within these categories,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bulk unit ammunition strategy, and improved in-stocks on core products. Within our ammunition and firearm categories, certain subcategories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experienced unit sales declines on a year over year basis, primarily due to headwinds associated with the 2024 election cycle. We continue to consistently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outpace the adjusted NICS background check data, achieving unit sales increases, suggesting market share gains within the firearm space.</w:t>
      </w:r>
    </w:p>
    <w:p>
      <w:pPr>
        <w:spacing w:after="0" w:line="234"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With respect to same store sales, during the 13 weeks ended November 1, 2025, our Fishing, Hunting and Shooting and Apparel departments saw increases of 14.1%, 5.3% and 1.6%, respectively, compared to the corresponding period of fiscal year 2024. Our Optics, Electronics, Accessories and Other, Camping and Footwear departments saw same store sales decreases of 9.5%, 8.5% and 5.0%, respectively, during the 13 weeks ended November 1, 2025 compared to the corresponding period of fiscal year 2024. These changes were primarily driven by the items noted above for net sales. As of November 1, 2025, 146 stores were included in our same store sales calculation.</w:t>
      </w:r>
    </w:p>
    <w:p>
      <w:pPr>
        <w:spacing w:after="0" w:line="206"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Gross Profit. </w:t>
      </w:r>
      <w:r>
        <w:rPr>
          <w:rFonts w:ascii="Times New Roman" w:cs="Times New Roman" w:eastAsia="Times New Roman" w:hAnsi="Times New Roman"/>
          <w:sz w:val="18"/>
          <w:szCs w:val="18"/>
          <w:color w:val="auto"/>
        </w:rPr>
        <w:t>Gross profit increased by $5.6 million, or 5.5%, to $108.7 million during the 13 weeks ended November 1, 2025 compared to $103.1 million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for the corresponding period of fiscal year 2024. As a percentage of net sales, gross profit increased to 32.8% during the 13 weeks ended November 1, 2025, compared to 31.8% for the corresponding period of fiscal year 2024. The margin improvement was primarily driven by stronger product margins from healthier inventory, improved shrink, and increased sales in the Fishing department, which has an overall higher margin profile. These gains were partially offset by a sales mix shift toward lower-margin firearms and ammunition, which have a lower gross margin, and lower Camping department sales, which has a higher gross margin.</w:t>
      </w:r>
    </w:p>
    <w:p>
      <w:pPr>
        <w:spacing w:after="0" w:line="209"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Selling, General, and Administrative Expenses. </w:t>
      </w:r>
      <w:r>
        <w:rPr>
          <w:rFonts w:ascii="Times New Roman" w:cs="Times New Roman" w:eastAsia="Times New Roman" w:hAnsi="Times New Roman"/>
          <w:sz w:val="18"/>
          <w:szCs w:val="18"/>
          <w:color w:val="auto"/>
        </w:rPr>
        <w:t>Selling, general, and administrative expenses increased by $4.5 million, or 4.5%, to $104.5 million during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13 weeks ended November 1, 2025, compared to $100.0 million for the corresponding period of fiscal year 2024. This increase was primarily the result of increased payroll expense of $1.5 million and a non-recurring expense of $3.0 million during the 13 weeks ended November 1, 2025. As a percentage of net sales, selling, general, and administrative expenses increased to 31.5% of net sales in the third quarter of fiscal year 2025, compared to 30.8% of net sales in the third quarter of fiscal year 2024. The increase, as a percentage of net sales, was due to a reinvestment in customer-facing areas of the business, including store and support area labor to grow sales and improve omni-channel traffic.</w:t>
      </w:r>
    </w:p>
    <w:p>
      <w:pPr>
        <w:spacing w:after="0" w:line="209"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Interest Expense. </w:t>
      </w:r>
      <w:r>
        <w:rPr>
          <w:rFonts w:ascii="Times New Roman" w:cs="Times New Roman" w:eastAsia="Times New Roman" w:hAnsi="Times New Roman"/>
          <w:sz w:val="18"/>
          <w:szCs w:val="18"/>
          <w:color w:val="auto"/>
        </w:rPr>
        <w:t>Interest expense increased by $0.7 million, or 21.2%, to $4.1 million during the 13 weeks ended November 1, 2025, compared to $3.3</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million for the corresponding period of fiscal year 2024. The increase in interest expense was primarily driven by increased borrowings under the revolving line of credit and term loan facilities during the third quarter of fiscal year 2025 compared to the corresponding period of fiscal year 2024.</w:t>
      </w:r>
    </w:p>
    <w:p>
      <w:pPr>
        <w:spacing w:after="0" w:line="198"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Income Taxes. </w:t>
      </w:r>
      <w:r>
        <w:rPr>
          <w:rFonts w:ascii="Times New Roman" w:cs="Times New Roman" w:eastAsia="Times New Roman" w:hAnsi="Times New Roman"/>
          <w:sz w:val="18"/>
          <w:szCs w:val="18"/>
          <w:color w:val="auto"/>
        </w:rPr>
        <w:t>We recognized income tax expense of $0.2 million during the 13 weeks ended November 1, 2025 compared to an income tax expense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$0.2 million during the corresponding period of fiscal year 2024. Our effective tax rates during the 13 weeks ended November 1, 2025 and November 2, 2024 were 96.3% and -80.2%, respectively. Our effective tax rate will generally differ from the U.S. Federal statutory rate of 21.0%, due to state taxes, permanent items, and discrete items relating to stock award deductions.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Thirty-Nine Weeks Ended November 1, 2025 Compared to Thirty-Nine Weeks Ended November 2, 2024</w:t>
      </w:r>
    </w:p>
    <w:p>
      <w:pPr>
        <w:spacing w:after="0" w:line="117"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Net Sales and Same Store Sales. </w:t>
      </w:r>
      <w:r>
        <w:rPr>
          <w:rFonts w:ascii="Times New Roman" w:cs="Times New Roman" w:eastAsia="Times New Roman" w:hAnsi="Times New Roman"/>
          <w:sz w:val="18"/>
          <w:szCs w:val="18"/>
          <w:color w:val="auto"/>
        </w:rPr>
        <w:t>Net sales increased by $17.1 million, or 2.0%, to $874.3 million during the 39 weeks ended November 1, 2025 compared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$857.2 million in the corresponding period of fiscal year 2024. Our net sales increased primarily due to increased sales in our Hunting and Shooting, Fishing and Apparel departments as we continue to emphasize inventory in-stocks, and our focused strategy to win the seasons in hunting and fishing to ensure we have the right inventory at the right location at the right time. In addition, the sales growth was driven by our strategic decision to lean into personal protection, including less-lethal alternatives. E-commerce driven sales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comprised approximately 19% of total sales for the 39 weeks ended November 1, 2025 and increased by over 5% compared to the corresponding period in fiscal year 2024, led by our new digital-first marketing strategy. Same store sales increased by 2.1% during the 39 weeks ended November 1, 2025 compared to the corresponding 39-week period of fiscal year 2024, primarily as a result of our improved inventory management efforts and new digital marketing strategy.</w:t>
      </w:r>
    </w:p>
    <w:p>
      <w:pPr>
        <w:spacing w:after="0" w:line="207"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Our Hunting and Shooting, Fishing and Apparel departments saw net sales increases of $17.8 million, $12.0 million and $0.8 million, respectively, during the 39 weeks ended November 1, 2025 compared to the corresponding period of fiscal year 2024 primarily driven by increased unit sales due to our continued emphasis on maintaining sufficient inventory in-stocks of core items. Additionally, this growth was driven by our focused strategy to win the seasons in hunting and fishing to ensure we have the right inventory at the right location at the right time and by our strategic decision to lean into personal protection, including less-lethal alternatives. Our Camping, Optics, Electronics, Accessories and Other and Footwear departments saw net sales decreases of $9.2 million, $3.2 million and $1.2 million, respectively, during the 39 weeks ended November 1, 2025 compared to the corresponding period of fiscal year 2024. We believe these decreases reflect the impact of broader macroeconomic conditions effecting the economy and US consumer, which includes categories that are highly discretionary in nature. Within our Hunting and Shooting department, our ammunition and firearm categories saw increases of $4.9 million and $2.9 million, or 3.9% and 1.4%, respectively, during the 39 weeks ended November 1, 2025 compared to the corresponding period of fiscal year 2024. The increase in these categories was primarily due to our efforts to ensure every day low pricing in key product groups within these categories, our bulk unit ammunition strategy, and improved in-stocks on core products. We continue to consistently outpace the adjusted NICS background check data, achieving unit sales increases, suggesting market share gains within the firearm space.</w:t>
      </w:r>
    </w:p>
    <w:p>
      <w:pPr>
        <w:spacing w:after="0" w:line="217"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With respect to same store sales, during the 39 weeks ended November 1, 2025, our Fishing, Hunting and Shooting and Apparel departments saw increases of 11.7%, 3.7% and 1.4%, respectively, compared to the corresponding period of fiscal year 2024. Our Camping, Optics, Electronics, Accessories and Other and Footwear departments saw same store sales decreases of 8.5%, 4.3% and 2.3%, respectively, during the 39 weeks ended November 1, 2025 compared to the corresponding period of fiscal year 2024. These changes were primarily driven by the items noted above for net sales. As of November 1, 2025, 146 stores were included in our same store sales calculation.</w:t>
      </w:r>
    </w:p>
    <w:p>
      <w:pPr>
        <w:spacing w:after="0" w:line="206"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Gross Profit. </w:t>
      </w:r>
      <w:r>
        <w:rPr>
          <w:rFonts w:ascii="Times New Roman" w:cs="Times New Roman" w:eastAsia="Times New Roman" w:hAnsi="Times New Roman"/>
          <w:sz w:val="18"/>
          <w:szCs w:val="18"/>
          <w:color w:val="auto"/>
        </w:rPr>
        <w:t>Gross profit increased by $11.4 million, or 4.3%, to $278.3 million during the 39 weeks ended November 1, 2025 compared to $266.9 million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for the corresponding period of fiscal year 2024. As a percentage of net sales, gross profit increased to 31.8% during the 39 weeks ended November 1, 2025, compared to 31.1% for the corresponding period of fiscal year 2024, primarily driven by stronger product margins from healthier inventory, improved shrink, and increased sales in the Fishing department, which has an overall higher margin profile. These gains were partially offset by a sales mix shift toward lower-margin firearms and ammunition, which have a lower gross margin, lower Camping department sales, which has a higher gross margin, and by increased freight expense tied to our strategic inventory pull-forward.</w:t>
      </w:r>
    </w:p>
    <w:p>
      <w:pPr>
        <w:spacing w:after="0" w:line="20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Selling, General, and Administrative Expenses. </w:t>
      </w:r>
      <w:r>
        <w:rPr>
          <w:rFonts w:ascii="Times New Roman" w:cs="Times New Roman" w:eastAsia="Times New Roman" w:hAnsi="Times New Roman"/>
          <w:sz w:val="18"/>
          <w:szCs w:val="18"/>
          <w:color w:val="auto"/>
        </w:rPr>
        <w:t>Selling, general, and administrative expenses increased by $8.1 million, or 2.8%, to $296.9 million during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39 weeks ended November 1, 2025, compared to $288.7 million for the corresponding period of fiscal year 2024. This increase was primarily the result of increased payroll expense of $5.7 million and a non-recurring expense of $3.0 million during the 39 weeks ended November 1, 2025, reflecting our reinvestment into customer facing and sales driving areas of the business. This increase was partially offset by a decrease of $1.1 million in depreciation. As a percentage of net sales, selling, general, and administrative expenses increased to 34.0% of net sales in the 39 weeks ended November 1, 2025, compared to 33.7% of net sales during the 39 weeks ended November 2, 2024. The increase, as a percentage of net sales, was due to a reinvestment in customer-facing areas of the business, including store and support area labor to grow sales and omni-channel traffic.</w:t>
      </w:r>
    </w:p>
    <w:p>
      <w:pPr>
        <w:spacing w:after="0" w:line="210"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Interest Expense. </w:t>
      </w:r>
      <w:r>
        <w:rPr>
          <w:rFonts w:ascii="Times New Roman" w:cs="Times New Roman" w:eastAsia="Times New Roman" w:hAnsi="Times New Roman"/>
          <w:sz w:val="18"/>
          <w:szCs w:val="18"/>
          <w:color w:val="auto"/>
        </w:rPr>
        <w:t>Interest expense increased by $1.3 million, or 13.8%, to $10.7 million during the 39 weeks ended November 1, 2025, compared to $9.4</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million for the corresponding period of fiscal year 2024. The increase in interest expense was primarily driven by increased borrowings under the revolving line of credit and term loan facilities during the 39 weeks ended November 1, 2025 compared to the corresponding period of fiscal year 2024.</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Income Taxes. </w:t>
      </w:r>
      <w:r>
        <w:rPr>
          <w:rFonts w:ascii="Times New Roman" w:cs="Times New Roman" w:eastAsia="Times New Roman" w:hAnsi="Times New Roman"/>
          <w:sz w:val="18"/>
          <w:szCs w:val="18"/>
          <w:color w:val="auto"/>
        </w:rPr>
        <w:t>We recognized income tax benefit of $1.0 million during the 39 weeks ended November 1, 2025 compared to an income tax benefit of $7.4</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million during the corresponding period of fiscal year 2024. Our effective tax rates during the 39 weeks ended November 1, 2025 and November 2, 2024 were 3.5% and 23.2%, respectively. Our effective tax rate will generally differ from the U.S. Federal statutory rate of 21.0%, due to state taxes, permanent items, and discrete items relating to stock award deductions.</w:t>
      </w: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229"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Net sales are typically higher in our third and fourth fiscal quarters than in our first and second fiscal quarters because of the openings of hunting seasons across the country and consumer holiday buying patterns. We also incur additional expenses in our third and fourth fiscal quarters due to higher sales volume and increased staffing in our stores. We anticipate our net sales will continue to reflect this seasonal pattern. On average, over the last three fiscal years, we have generated approximately 26.4% and 28.0% of our net sales in the third and fourth fiscal quarters, respectively, which includes the holiday selling season as well as the opening of the Fall hunting season. We anticipate our net sales will continue to reflect this seasonal pattern. However, Spring hunting, Father’s Day and the availability of hunting and fishing throughout the year in many of our markets counterbalance this seasonality to a certain degree.</w:t>
      </w:r>
    </w:p>
    <w:p>
      <w:pPr>
        <w:spacing w:after="0" w:line="18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timing of our new retail store openings also may have an impact on our quarterly results. First, we incur certain non-recurring expenses related to opening each new retail store, which are expensed as they are incurred. Second, most store expenses generally vary proportionately with net sales, but there is also a fixed cost component, which includes occupancy costs. These fixed costs typically result in lower store profitability during the initial period after a new retail store opens. Due to both of these factors, new retail store openings may result in a temporary decline in operating profit, in dollars and/or as a percentage of net sales.</w:t>
      </w:r>
    </w:p>
    <w:p>
      <w:pPr>
        <w:spacing w:after="0" w:line="183"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Weather conditions affect outdoor activities and the demand for related apparel and equipment. Customers’ demand for our products, and, therefore, our net sales, can be significantly impacted by weather patterns on a local, regional and national basis.</w:t>
      </w:r>
    </w:p>
    <w:p>
      <w:pPr>
        <w:spacing w:after="0" w:line="15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 Uses and Sources of Cash</w:t>
      </w:r>
    </w:p>
    <w:p>
      <w:pPr>
        <w:spacing w:after="0" w:line="12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As of November 1, 2025, we had cash and cash equivalents of $2.2 million and working capital, consisting of current assets less current liabilities, of $75.5 million. We also had $109.7 million available for borrowing under our senior secured revolving credit facility as of November 1, 2025, calculated based upon borrowing base restrictions under our revolving credit facility.</w:t>
      </w:r>
    </w:p>
    <w:p>
      <w:pPr>
        <w:spacing w:after="0" w:line="176"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Our primary cash requirements are for seasonal working capital needs and capital expenditures related to ongoing operational needs and new system investments. For both the short-term and the long-term, our primary sources of cash are borrowings under our senior secured revolving credit facility and operating cash flows. We believe that our cash on hand, cash generated by operating activities and funds available under our revolving credit facility will be sufficient to finance our operating activities and meet our cash requirements for at least the next twelve months and beyond. With only one new store planned for fiscal year 2025, we intend to prioritize the repayment of outstanding debt with any excess cash flow.</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Material Cash Requirements</w:t>
      </w:r>
    </w:p>
    <w:p>
      <w:pPr>
        <w:spacing w:after="0" w:line="121"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Our material cash requirements from known contractual and other obligations are primarily for general operating expenses and other expenses discussed below.</w:t>
      </w:r>
    </w:p>
    <w:p>
      <w:pPr>
        <w:spacing w:after="0" w:line="160" w:lineRule="exact"/>
        <w:rPr>
          <w:sz w:val="20"/>
          <w:szCs w:val="20"/>
          <w:color w:val="auto"/>
        </w:rPr>
      </w:pPr>
    </w:p>
    <w:p>
      <w:pPr>
        <w:ind w:right="38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Purchase Obligations. </w:t>
      </w:r>
      <w:r>
        <w:rPr>
          <w:rFonts w:ascii="Times New Roman" w:cs="Times New Roman" w:eastAsia="Times New Roman" w:hAnsi="Times New Roman"/>
          <w:sz w:val="18"/>
          <w:szCs w:val="18"/>
          <w:color w:val="auto"/>
        </w:rPr>
        <w:t>In the ordinary course of business, we enter into arrangements with vendors to purchase merchandise in advance of expected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delivery. We or the vendor can generally terminate the purchase orders at any time. These purchase orders do not contain any termination payments or other penalties if cancelled.</w:t>
      </w: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Operating Lease Obligations. </w:t>
      </w:r>
      <w:r>
        <w:rPr>
          <w:rFonts w:ascii="Times New Roman" w:cs="Times New Roman" w:eastAsia="Times New Roman" w:hAnsi="Times New Roman"/>
          <w:sz w:val="18"/>
          <w:szCs w:val="18"/>
          <w:color w:val="auto"/>
        </w:rPr>
        <w:t>Operating lease commitments consist principally of leases for our retail stores, corporate office and distribution center.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leases often include options which allow us to extend the terms beyond the initial lease term. As of November 1, 2025, our expected operating lease payments for the remainder of fiscal year 2025 and fiscal year 2026 are $18.9 million and $75.4 million, respectively. Our total committed operating lease payments are $434.3 million. Other operating lease obligations consist of distribution center equipment. See Note 6, “Leases” to our unaudited condensed consolidated financial statements included in this 10-Q.</w:t>
      </w:r>
    </w:p>
    <w:p>
      <w:pPr>
        <w:spacing w:after="0" w:line="183" w:lineRule="exact"/>
        <w:rPr>
          <w:sz w:val="20"/>
          <w:szCs w:val="20"/>
          <w:color w:val="auto"/>
        </w:rPr>
      </w:pPr>
    </w:p>
    <w:p>
      <w:pPr>
        <w:ind w:right="10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Capital Expenditures. </w:t>
      </w:r>
      <w:r>
        <w:rPr>
          <w:rFonts w:ascii="Times New Roman" w:cs="Times New Roman" w:eastAsia="Times New Roman" w:hAnsi="Times New Roman"/>
          <w:sz w:val="18"/>
          <w:szCs w:val="18"/>
          <w:color w:val="auto"/>
        </w:rPr>
        <w:t>During the 39 weeks ended November 1, 2025, we incurred approximately $18.7 million in capital expenditures primarily related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strategic technological investments and general store maintenance. We expect capital expenditures to be less than $25 million for fiscal year 2025 (inclusive of amounts spent during the 39 weeks ended November 1, 2025) primarily related to strategic technological investments, such as planogramming, merchandising and replenishment and store scheduling tools, and general store fleet maintenance. We intend to fund these capital expenditures with our operating cash flows, cash on hand and funds available under our revolving credit facility. Other investment opportunities, such as potential strategic acquisitions or store expansion rates in excess of those presently planned, may require additional funding.</w:t>
      </w:r>
    </w:p>
    <w:p>
      <w:pPr>
        <w:spacing w:after="0" w:line="182"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Principal and Interest Payments. </w:t>
      </w:r>
      <w:r>
        <w:rPr>
          <w:rFonts w:ascii="Times New Roman" w:cs="Times New Roman" w:eastAsia="Times New Roman" w:hAnsi="Times New Roman"/>
          <w:sz w:val="18"/>
          <w:szCs w:val="18"/>
          <w:color w:val="auto"/>
        </w:rPr>
        <w:t>We maintain a $350.0 million revolving credit facility and a $45.0 million term loan facility. As of November 1, 2025,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$153.3 million was outstanding under the revolving credit facility and $45.0 million was outstanding under the term loan facility. Assuming no additional repayments or borrowings on our revolving credit facility after November 1, 2025, our interest payments would be approximately $3.3 million for the remainder of fiscal year 2025 and approximately $13.2 million for fiscal year 2026, in each case, based on the interest rate as of November 1, 2025. As of November 1, 2025, our weighted average interest rate on the amounts outstanding under our revolving credit facility and term loan facility was 6.68%. See below under “Indebtedness” for additional information regarding our revolving credit facility and term loan facility, including the interest rates applicable to any borrowing under such facilities.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flows provided by (used in) operating, investing and financing activities are shown in the following table:</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26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60" w:type="dxa"/>
            <w:vAlign w:val="bottom"/>
            <w:gridSpan w:val="6"/>
          </w:tcPr>
          <w:p>
            <w:pPr>
              <w:jc w:val="right"/>
              <w:ind w:right="1000"/>
              <w:spacing w:after="0"/>
              <w:rPr>
                <w:sz w:val="20"/>
                <w:szCs w:val="20"/>
                <w:color w:val="auto"/>
              </w:rPr>
            </w:pPr>
            <w:r>
              <w:rPr>
                <w:rFonts w:ascii="Times New Roman" w:cs="Times New Roman" w:eastAsia="Times New Roman" w:hAnsi="Times New Roman"/>
                <w:sz w:val="14"/>
                <w:szCs w:val="14"/>
                <w:b w:val="1"/>
                <w:bCs w:val="1"/>
                <w:color w:val="auto"/>
              </w:rPr>
              <w:t>Thirty-Nine Weeks Ended</w:t>
            </w:r>
          </w:p>
        </w:tc>
      </w:tr>
      <w:tr>
        <w:trPr>
          <w:trHeight w:val="117"/>
        </w:trPr>
        <w:tc>
          <w:tcPr>
            <w:tcW w:w="5260" w:type="dxa"/>
            <w:vAlign w:val="bottom"/>
          </w:tcPr>
          <w:p>
            <w:pPr>
              <w:spacing w:after="0"/>
              <w:rPr>
                <w:sz w:val="10"/>
                <w:szCs w:val="10"/>
                <w:color w:val="auto"/>
              </w:rPr>
            </w:pPr>
          </w:p>
        </w:tc>
        <w:tc>
          <w:tcPr>
            <w:tcW w:w="248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480" w:type="dxa"/>
            <w:vAlign w:val="bottom"/>
            <w:tcBorders>
              <w:top w:val="single" w:sz="8" w:color="auto"/>
            </w:tcBorders>
            <w:gridSpan w:val="2"/>
          </w:tcPr>
          <w:p>
            <w:pPr>
              <w:jc w:val="right"/>
              <w:ind w:right="468"/>
              <w:spacing w:after="0" w:line="118" w:lineRule="exact"/>
              <w:rPr>
                <w:sz w:val="20"/>
                <w:szCs w:val="20"/>
                <w:color w:val="auto"/>
              </w:rPr>
            </w:pPr>
            <w:r>
              <w:rPr>
                <w:rFonts w:ascii="Times New Roman" w:cs="Times New Roman" w:eastAsia="Times New Roman" w:hAnsi="Times New Roman"/>
                <w:sz w:val="13"/>
                <w:szCs w:val="13"/>
                <w:b w:val="1"/>
                <w:bCs w:val="1"/>
                <w:color w:val="auto"/>
              </w:rPr>
              <w:t>November 1,</w:t>
            </w:r>
          </w:p>
        </w:tc>
        <w:tc>
          <w:tcPr>
            <w:tcW w:w="12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1220" w:type="dxa"/>
            <w:vAlign w:val="bottom"/>
            <w:tcBorders>
              <w:top w:val="single" w:sz="8" w:color="auto"/>
            </w:tcBorders>
          </w:tcPr>
          <w:p>
            <w:pPr>
              <w:jc w:val="right"/>
              <w:ind w:right="317"/>
              <w:spacing w:after="0" w:line="118" w:lineRule="exact"/>
              <w:rPr>
                <w:sz w:val="20"/>
                <w:szCs w:val="20"/>
                <w:color w:val="auto"/>
              </w:rPr>
            </w:pPr>
            <w:r>
              <w:rPr>
                <w:rFonts w:ascii="Times New Roman" w:cs="Times New Roman" w:eastAsia="Times New Roman" w:hAnsi="Times New Roman"/>
                <w:sz w:val="13"/>
                <w:szCs w:val="13"/>
                <w:b w:val="1"/>
                <w:bCs w:val="1"/>
                <w:color w:val="auto"/>
              </w:rPr>
              <w:t>November 2,</w:t>
            </w:r>
          </w:p>
        </w:tc>
        <w:tc>
          <w:tcPr>
            <w:tcW w:w="100" w:type="dxa"/>
            <w:vAlign w:val="bottom"/>
          </w:tcPr>
          <w:p>
            <w:pPr>
              <w:spacing w:after="0"/>
              <w:rPr>
                <w:sz w:val="10"/>
                <w:szCs w:val="10"/>
                <w:color w:val="auto"/>
              </w:rPr>
            </w:pPr>
          </w:p>
        </w:tc>
      </w:tr>
      <w:tr>
        <w:trPr>
          <w:trHeight w:val="173"/>
        </w:trPr>
        <w:tc>
          <w:tcPr>
            <w:tcW w:w="526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r>
      <w:tr>
        <w:trPr>
          <w:trHeight w:val="142"/>
        </w:trPr>
        <w:tc>
          <w:tcPr>
            <w:tcW w:w="526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20" w:type="dxa"/>
            <w:vAlign w:val="bottom"/>
          </w:tcPr>
          <w:p>
            <w:pPr>
              <w:jc w:val="right"/>
              <w:ind w:right="60"/>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620" w:type="dxa"/>
            <w:vAlign w:val="bottom"/>
            <w:gridSpan w:val="3"/>
          </w:tcPr>
          <w:p>
            <w:pPr>
              <w:jc w:val="right"/>
              <w:ind w:right="40"/>
              <w:spacing w:after="0" w:line="142" w:lineRule="exact"/>
              <w:rPr>
                <w:sz w:val="20"/>
                <w:szCs w:val="20"/>
                <w:color w:val="auto"/>
              </w:rPr>
            </w:pPr>
            <w:r>
              <w:rPr>
                <w:rFonts w:ascii="Times New Roman" w:cs="Times New Roman" w:eastAsia="Times New Roman" w:hAnsi="Times New Roman"/>
                <w:sz w:val="14"/>
                <w:szCs w:val="14"/>
                <w:b w:val="1"/>
                <w:bCs w:val="1"/>
                <w:color w:val="auto"/>
                <w:w w:val="85"/>
              </w:rPr>
              <w:t>thousands)</w:t>
            </w: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5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flows used in operating activities</w:t>
            </w:r>
          </w:p>
        </w:tc>
        <w:tc>
          <w:tcPr>
            <w:tcW w:w="27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FF0FC"/>
          </w:tcPr>
          <w:p>
            <w:pPr>
              <w:jc w:val="right"/>
              <w:ind w:right="28"/>
              <w:spacing w:after="0"/>
              <w:rPr>
                <w:sz w:val="20"/>
                <w:szCs w:val="20"/>
                <w:color w:val="auto"/>
              </w:rPr>
            </w:pPr>
            <w:r>
              <w:rPr>
                <w:rFonts w:ascii="Times New Roman" w:cs="Times New Roman" w:eastAsia="Times New Roman" w:hAnsi="Times New Roman"/>
                <w:sz w:val="18"/>
                <w:szCs w:val="18"/>
                <w:color w:val="auto"/>
              </w:rPr>
              <w:t>(70,495)</w:t>
            </w:r>
          </w:p>
        </w:tc>
        <w:tc>
          <w:tcPr>
            <w:tcW w:w="4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(18,671)</w:t>
            </w:r>
          </w:p>
        </w:tc>
      </w:tr>
      <w:tr>
        <w:trPr>
          <w:trHeight w:val="216"/>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Cash flows used in investing activities</w:t>
            </w:r>
          </w:p>
        </w:tc>
        <w:tc>
          <w:tcPr>
            <w:tcW w:w="2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(18,730)</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(11,250)</w:t>
            </w:r>
          </w:p>
        </w:tc>
      </w:tr>
      <w:tr>
        <w:trPr>
          <w:trHeight w:val="216"/>
        </w:trPr>
        <w:tc>
          <w:tcPr>
            <w:tcW w:w="5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provided by financing activities</w:t>
            </w:r>
          </w:p>
        </w:tc>
        <w:tc>
          <w:tcPr>
            <w:tcW w:w="24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88"/>
              <w:spacing w:after="0"/>
              <w:rPr>
                <w:sz w:val="20"/>
                <w:szCs w:val="20"/>
                <w:color w:val="auto"/>
              </w:rPr>
            </w:pPr>
            <w:r>
              <w:rPr>
                <w:rFonts w:ascii="Times New Roman" w:cs="Times New Roman" w:eastAsia="Times New Roman" w:hAnsi="Times New Roman"/>
                <w:sz w:val="18"/>
                <w:szCs w:val="18"/>
                <w:color w:val="auto"/>
              </w:rPr>
              <w:t>88,639</w:t>
            </w: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29,446</w:t>
            </w:r>
          </w:p>
        </w:tc>
      </w:tr>
      <w:tr>
        <w:trPr>
          <w:trHeight w:val="234"/>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Cash at end of period</w:t>
            </w:r>
          </w:p>
        </w:tc>
        <w:tc>
          <w:tcPr>
            <w:tcW w:w="2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2,246</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2,666</w:t>
            </w:r>
          </w:p>
        </w:tc>
      </w:tr>
    </w:tbl>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used in operating activities was $70.5 million for the 39 weeks ended November 1, 2025, compared to net cash used in operating activities of</w:t>
      </w:r>
    </w:p>
    <w:p>
      <w:pPr>
        <w:spacing w:after="0" w:line="27"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$18.7 million for the corresponding period of fiscal year 2024, an increase of approximately $51.8 million. The increase in our cash flows used in operating activities was primarily driven by the timing of inventory purchases and the resulting payments related to accounts payable during the 39 weeks ended November 1, 2025 compared to the corresponding period of fiscal year 2024 done in an attempt to reduce our exposure to tariffs and ensure we have inventory on hand for hunting season and the holiday seasons.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used in investing activities was $18.7 million for the 39 weeks ended November 1, 2025, compared to net cash used in investing activities of</w:t>
      </w:r>
    </w:p>
    <w:p>
      <w:pPr>
        <w:spacing w:after="0" w:line="27" w:lineRule="exact"/>
        <w:rPr>
          <w:sz w:val="20"/>
          <w:szCs w:val="20"/>
          <w:color w:val="auto"/>
        </w:rPr>
      </w:pPr>
    </w:p>
    <w:p>
      <w:pPr>
        <w:jc w:val="both"/>
        <w:ind w:right="120"/>
        <w:spacing w:after="0" w:line="255" w:lineRule="auto"/>
        <w:rPr>
          <w:sz w:val="20"/>
          <w:szCs w:val="20"/>
          <w:color w:val="auto"/>
        </w:rPr>
      </w:pPr>
      <w:r>
        <w:rPr>
          <w:rFonts w:ascii="Times New Roman" w:cs="Times New Roman" w:eastAsia="Times New Roman" w:hAnsi="Times New Roman"/>
          <w:sz w:val="18"/>
          <w:szCs w:val="18"/>
          <w:color w:val="auto"/>
        </w:rPr>
        <w:t>$11.3 million for the corresponding period of fiscal year 2024, an increase of approximately $7.4 million, which was primarily driven by increased capital expenditures related to the construction of a new store and timing of technical investments during the 39 weeks ended November 1, 2025 compared to the corresponding period of fiscal year 2024.</w:t>
      </w:r>
    </w:p>
    <w:p>
      <w:pPr>
        <w:spacing w:after="0" w:line="186"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was $88.6 million for the 39 weeks ended November 1, 2025, compared to net cash provided by financing activities of $29.4 million for the corresponding period of fiscal year 2024, an increase of approximately $59.2 million. The increase in cash provided by financing activities was primarily the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result of our borrowing of $20.0 million under our delayed draw ABL term loan and incremental borrowings under our revolving credit facility.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Indebtedness</w:t>
      </w:r>
    </w:p>
    <w:p>
      <w:pPr>
        <w:spacing w:after="0" w:line="121"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We maintain a $350.0 million revolving credit facility, with $153.3 million outstanding as of November 1, 2025. Our revolving credit facility is governed by an amended and restated credit agreement with a consortium of banks led by Wells Fargo Bank, National Association (“Wells Fargo”). We additionally entered into a term loan credit facility on July 30, 2024 with $45.0 million outstanding as of November 1, 2025. Borrowings under our revolving credit facility are subject to a borrowing base calculation. As of November 1, 2025, we had an aggregate amount of $109.7 million available for borrowing under our revolving credit facility, calculated based upon certain borrowing base restrictions, and $2.6 million in stand-by commercial letters of credit.</w:t>
      </w:r>
    </w:p>
    <w:p>
      <w:pPr>
        <w:spacing w:after="0" w:line="183" w:lineRule="exact"/>
        <w:rPr>
          <w:sz w:val="20"/>
          <w:szCs w:val="20"/>
          <w:color w:val="auto"/>
        </w:rPr>
      </w:pPr>
    </w:p>
    <w:p>
      <w:pPr>
        <w:ind w:right="160"/>
        <w:spacing w:after="0" w:line="257" w:lineRule="auto"/>
        <w:rPr>
          <w:sz w:val="20"/>
          <w:szCs w:val="20"/>
          <w:color w:val="auto"/>
        </w:rPr>
      </w:pPr>
      <w:r>
        <w:rPr>
          <w:rFonts w:ascii="Times New Roman" w:cs="Times New Roman" w:eastAsia="Times New Roman" w:hAnsi="Times New Roman"/>
          <w:sz w:val="18"/>
          <w:szCs w:val="18"/>
          <w:color w:val="auto"/>
        </w:rPr>
        <w:t>Borrowings under the revolving credit facility bear interest based on either the base rate or Term SOFR (as defined by the credit agreement governing the revolving credit facility), at our option, in each case plus an applicable margin. The base rate is the greatest of (1) the floor rate (as defined in the credit agreement as a rate of interest equal to 0.0%) (2) Wells Fargo’s prime rate, (3) the federal funds rate (as defined in the applicable credit agreement) plus</w:t>
      </w:r>
    </w:p>
    <w:p>
      <w:pPr>
        <w:spacing w:after="0" w:line="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0.50% or (4) the one-month Term SOFR (as defined in the applicable credit agreement) plus 1.00%. The applicable margin for loans under the revolving credit facility, which varies based on the average daily availability, ranges from 0.25% to 0.50% per year for base rate loans and from 1.35% to 1.60% per year for Term SOFR loans. We are required to pay a commitment fee for the unused portion of the revolving credit facility, which will range from 0.20% to 0.225% per annum, depending on the average daily availability under the revolving credit facility.</w:t>
      </w:r>
    </w:p>
    <w:p>
      <w:pPr>
        <w:spacing w:after="0" w:line="18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Borrowings under the term loan facility bear interest at a rate equal to (i) a specified term secured overnight financing rate (SOFR), plus (ii) 0.10% as a SOFR adjustment, plus (iii) the applicable margin as specified in the Term Loan. The applicable margin means either 3.50% or 6.50% depending on the type of term loan. Under the Term Loan, loans may be required to be converted to base rate loans and in such case, the applicable margin rate will increase by 1.0%.</w:t>
      </w:r>
    </w:p>
    <w:p>
      <w:pPr>
        <w:spacing w:after="0" w:line="112"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Each of the subsidiaries of Holdings is a borrower under the revolving credit facility and the term loan, and all obligations under the revolving credit facility and the term loan are guaranteed by Holdings. All of the obligations under the revolving credit facility and the term loan are secured by a lien on substantially all of Holdings’ assets and assets of all of Holdings’ subsidiaries, including a pledge of all capital stock of each of Holdings’ subsidiaries. The lien securing the obligations under the revolving credit facility is a first priority lien as to certain liquid assets, including cash, accounts receivable, deposit accounts and inventory. The lien securing the obligations under the term loan facility is a first priority lien as to equipment, fixtures, intellectual property and equity interests.</w:t>
      </w:r>
    </w:p>
    <w:p>
      <w:pPr>
        <w:spacing w:after="0" w:line="187"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We may be required to make mandatory prepayments under the revolving credit facility and the term loan in the event of a disposition of certain property or assets, in the event of receipt of certain insurance or condemnation proceeds, upon the issuance of certain debt or equity securities, upon the incurrence of certain indebtedness for borrowed money or upon the receipt of certain payments not received in the ordinary course of business.</w:t>
      </w:r>
    </w:p>
    <w:p>
      <w:pPr>
        <w:spacing w:after="0" w:line="176"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Our revolving credit facility and term loan facility each require us to maintain a minimum availability at all times of not less than the greater of $30.0 million and 10% of the gross borrowing base. In addition, the credit agreements governing each of our revolving credit facility and our term loan facility contain customary affirmative and negative covenants, including covenants that limit our ability to incur, create or assume certain indebtedness, to create, incur or assume certain liens, to make certain investments, to make sales, transfers and dispositions of certain property and to undergo certain fundamental changes, including certain mergers, liquidations and consolidations. The revolving credit facility and term loan facility also contain customary events of default, including defaults triggered by defaults under the other facility. As of November 1, 2025, we were in compliance with all covenants under the credit agreements governing each of our revolving credit facility and our term loan facility.</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8185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right="200"/>
        <w:spacing w:after="0" w:line="255" w:lineRule="auto"/>
        <w:rPr>
          <w:sz w:val="20"/>
          <w:szCs w:val="20"/>
          <w:color w:val="auto"/>
        </w:rPr>
      </w:pPr>
      <w:r>
        <w:rPr>
          <w:rFonts w:ascii="Times New Roman" w:cs="Times New Roman" w:eastAsia="Times New Roman" w:hAnsi="Times New Roman"/>
          <w:sz w:val="18"/>
          <w:szCs w:val="18"/>
          <w:color w:val="auto"/>
        </w:rPr>
        <w:t>Our financial statements are prepared in accordance with accounting principles generally accepted in the United States of America (“GAAP”). In connection with the preparation of the financial statements, we are required to make assumptions, make estimates and apply judgment that affect the reported amounts of assets, liabilities, revenue, expenses and the related disclosures. We base our assumptions, estimates and judgments on historical experience, current trends and other factors that we believe to be relevant at the time the condensed consolidated financial statements are prepared. On a regular basis, we review the accounting policies, assumptions, estimates and judgments to ensure that our financial statements are presented fairly and in accordance with GAAP. However, because future events and their effects cannot be determined with certainty, actual results could differ from our assumptions and estimates, and such differences could be material.</w:t>
      </w:r>
    </w:p>
    <w:p>
      <w:pPr>
        <w:spacing w:after="0" w:line="189"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There have been no significant changes to our critical accounting estimates as described in “Part II., Item 7., Management’s Discussion and Analysis of Financial Condition and Results of Operations” of our Fiscal 2024 Form 10-K.</w:t>
      </w:r>
    </w:p>
    <w:p>
      <w:pPr>
        <w:spacing w:after="0" w:line="15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229"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In evaluating our business, we use Adjusted EBITDA and Adjusted EBITDA margin as supplemental measures of our operating performance. We define Adjusted EBITDA as net income (loss) plus interest expense, income tax expense (benefit), depreciation and amortization, stock-based compensation expense, transition and severance costs related to director and officer transitions, and expenses that we do not believe are indicative of our ongoing expenses. Net income (loss) is the most comparable GAAP financial measure to Adjusted EBITDA. We define Adjusted EBITDA margin as, for any period, the Adjusted EBITDA for that period divided by the net sales for that period. We consider Adjusted EBITDA and Adjusted EBITDA margin important supplemental measures of our operating performance and believe they are frequently used by analysts, investors and other interested parties in the evaluation of companies in our industry. Other companies in our industry, however, may calculate Adjusted EBITDA and Adjusted EBITDA margin differently than we do. Management also uses Adjusted EBITDA and Adjusted EBITDA margin as additional measurement tools for purposes of business decision-making, including evaluating store performance, developing budgets and managing expenditures. Management believes Adjusted EBITDA and Adjusted EBITDA margin allow investors to evaluate our operating performance and compare our results of operations from period to period on a consistent basis by excluding items that management does not believe are indicative of our core operating performance.</w:t>
      </w:r>
    </w:p>
    <w:p>
      <w:pPr>
        <w:spacing w:after="0" w:line="19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Adjusted EBITDA is not defined under GAAP and is not a measure of operating income, operating performance or liquidity presented in accordance with GAAP. Adjusted EBITDA has limitations as an analytical tool, and when assessing our operating performance, you should not consider Adjusted EBITDA in isolation or as a substitute for net income or other condensed consolidated statement of operations data prepared in accordance with GAAP. Some of these limitations include, but are not limited to:</w:t>
      </w:r>
    </w:p>
    <w:p>
      <w:pPr>
        <w:spacing w:after="0" w:line="72" w:lineRule="exact"/>
        <w:rPr>
          <w:sz w:val="20"/>
          <w:szCs w:val="20"/>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our cash expenditures or future requirements for capital expenditures or contractual commitments;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changes in, or cash requirements for, our working capital needs;</w:t>
      </w:r>
    </w:p>
    <w:p>
      <w:pPr>
        <w:spacing w:after="0" w:line="117" w:lineRule="exact"/>
        <w:rPr>
          <w:rFonts w:ascii="Times New Roman" w:cs="Times New Roman" w:eastAsia="Times New Roman" w:hAnsi="Times New Roman"/>
          <w:sz w:val="18"/>
          <w:szCs w:val="18"/>
          <w:color w:val="auto"/>
        </w:rPr>
      </w:pPr>
    </w:p>
    <w:p>
      <w:pPr>
        <w:ind w:left="1020" w:right="240" w:hanging="503"/>
        <w:spacing w:after="0" w:line="282"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may be defined differently by other companies, and, therefore, it may not be directly comparable to the results of other companies in our industry;</w:t>
      </w:r>
    </w:p>
    <w:p>
      <w:pPr>
        <w:spacing w:after="0" w:line="53" w:lineRule="exact"/>
        <w:rPr>
          <w:rFonts w:ascii="Times New Roman" w:cs="Times New Roman" w:eastAsia="Times New Roman" w:hAnsi="Times New Roman"/>
          <w:sz w:val="18"/>
          <w:szCs w:val="18"/>
          <w:color w:val="auto"/>
        </w:rPr>
      </w:pPr>
    </w:p>
    <w:p>
      <w:pPr>
        <w:ind w:left="1020" w:right="120" w:hanging="503"/>
        <w:spacing w:after="0" w:line="282"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the interest expense, or the cash requirements necessary to service interest or principal payments, on our debt;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income taxes or the cash requirements for any tax payments.</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9" w:right="37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8185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reconciliation of net income (loss) to Adjusted EBITDA and a calculation of Adjusted EBITDA margin is set forth below for the periods presented:</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580" w:type="dxa"/>
            <w:vAlign w:val="bottom"/>
            <w:gridSpan w:val="5"/>
          </w:tcPr>
          <w:p>
            <w:pPr>
              <w:jc w:val="right"/>
              <w:ind w:right="1288"/>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560" w:type="dxa"/>
            <w:vAlign w:val="bottom"/>
            <w:gridSpan w:val="6"/>
          </w:tcPr>
          <w:p>
            <w:pPr>
              <w:jc w:val="right"/>
              <w:ind w:right="1220"/>
              <w:spacing w:after="0"/>
              <w:rPr>
                <w:sz w:val="20"/>
                <w:szCs w:val="20"/>
                <w:color w:val="auto"/>
              </w:rPr>
            </w:pPr>
            <w:r>
              <w:rPr>
                <w:rFonts w:ascii="Times New Roman" w:cs="Times New Roman" w:eastAsia="Times New Roman" w:hAnsi="Times New Roman"/>
                <w:sz w:val="14"/>
                <w:szCs w:val="14"/>
                <w:b w:val="1"/>
                <w:bCs w:val="1"/>
                <w:color w:val="auto"/>
              </w:rPr>
              <w:t>Thirty-Nine Weeks Ended</w:t>
            </w:r>
          </w:p>
        </w:tc>
      </w:tr>
      <w:tr>
        <w:trPr>
          <w:trHeight w:val="117"/>
        </w:trPr>
        <w:tc>
          <w:tcPr>
            <w:tcW w:w="31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700" w:type="dxa"/>
            <w:vAlign w:val="bottom"/>
            <w:tcBorders>
              <w:top w:val="single" w:sz="8" w:color="auto"/>
            </w:tcBorders>
            <w:gridSpan w:val="2"/>
          </w:tcPr>
          <w:p>
            <w:pPr>
              <w:jc w:val="right"/>
              <w:ind w:right="760"/>
              <w:spacing w:after="0" w:line="118" w:lineRule="exact"/>
              <w:rPr>
                <w:sz w:val="20"/>
                <w:szCs w:val="20"/>
                <w:color w:val="auto"/>
              </w:rPr>
            </w:pPr>
            <w:r>
              <w:rPr>
                <w:rFonts w:ascii="Times New Roman" w:cs="Times New Roman" w:eastAsia="Times New Roman" w:hAnsi="Times New Roman"/>
                <w:sz w:val="13"/>
                <w:szCs w:val="13"/>
                <w:b w:val="1"/>
                <w:bCs w:val="1"/>
                <w:color w:val="auto"/>
              </w:rPr>
              <w:t>November 1,</w:t>
            </w:r>
          </w:p>
        </w:tc>
        <w:tc>
          <w:tcPr>
            <w:tcW w:w="240" w:type="dxa"/>
            <w:vAlign w:val="bottom"/>
            <w:tcBorders>
              <w:top w:val="single" w:sz="8" w:color="auto"/>
            </w:tcBorders>
          </w:tcPr>
          <w:p>
            <w:pPr>
              <w:spacing w:after="0"/>
              <w:rPr>
                <w:sz w:val="10"/>
                <w:szCs w:val="10"/>
                <w:color w:val="auto"/>
              </w:rPr>
            </w:pPr>
          </w:p>
        </w:tc>
        <w:tc>
          <w:tcPr>
            <w:tcW w:w="1320" w:type="dxa"/>
            <w:vAlign w:val="bottom"/>
            <w:tcBorders>
              <w:top w:val="single" w:sz="8" w:color="auto"/>
            </w:tcBorders>
          </w:tcPr>
          <w:p>
            <w:pPr>
              <w:jc w:val="right"/>
              <w:ind w:right="294"/>
              <w:spacing w:after="0" w:line="118" w:lineRule="exact"/>
              <w:rPr>
                <w:sz w:val="20"/>
                <w:szCs w:val="20"/>
                <w:color w:val="auto"/>
              </w:rPr>
            </w:pPr>
            <w:r>
              <w:rPr>
                <w:rFonts w:ascii="Times New Roman" w:cs="Times New Roman" w:eastAsia="Times New Roman" w:hAnsi="Times New Roman"/>
                <w:sz w:val="13"/>
                <w:szCs w:val="13"/>
                <w:b w:val="1"/>
                <w:bCs w:val="1"/>
                <w:color w:val="auto"/>
              </w:rPr>
              <w:t>November 2,</w:t>
            </w: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660" w:type="dxa"/>
            <w:vAlign w:val="bottom"/>
            <w:tcBorders>
              <w:top w:val="single" w:sz="8" w:color="auto"/>
            </w:tcBorders>
            <w:gridSpan w:val="2"/>
          </w:tcPr>
          <w:p>
            <w:pPr>
              <w:jc w:val="right"/>
              <w:ind w:right="720"/>
              <w:spacing w:after="0" w:line="118" w:lineRule="exact"/>
              <w:rPr>
                <w:sz w:val="20"/>
                <w:szCs w:val="20"/>
                <w:color w:val="auto"/>
              </w:rPr>
            </w:pPr>
            <w:r>
              <w:rPr>
                <w:rFonts w:ascii="Times New Roman" w:cs="Times New Roman" w:eastAsia="Times New Roman" w:hAnsi="Times New Roman"/>
                <w:sz w:val="13"/>
                <w:szCs w:val="13"/>
                <w:b w:val="1"/>
                <w:bCs w:val="1"/>
                <w:color w:val="auto"/>
              </w:rPr>
              <w:t>November 1,</w:t>
            </w:r>
          </w:p>
        </w:tc>
        <w:tc>
          <w:tcPr>
            <w:tcW w:w="10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340" w:type="dxa"/>
            <w:vAlign w:val="bottom"/>
            <w:tcBorders>
              <w:top w:val="single" w:sz="8" w:color="auto"/>
            </w:tcBorders>
          </w:tcPr>
          <w:p>
            <w:pPr>
              <w:jc w:val="right"/>
              <w:ind w:right="313"/>
              <w:spacing w:after="0" w:line="118" w:lineRule="exact"/>
              <w:rPr>
                <w:sz w:val="20"/>
                <w:szCs w:val="20"/>
                <w:color w:val="auto"/>
              </w:rPr>
            </w:pPr>
            <w:r>
              <w:rPr>
                <w:rFonts w:ascii="Times New Roman" w:cs="Times New Roman" w:eastAsia="Times New Roman" w:hAnsi="Times New Roman"/>
                <w:sz w:val="13"/>
                <w:szCs w:val="13"/>
                <w:b w:val="1"/>
                <w:bCs w:val="1"/>
                <w:color w:val="auto"/>
              </w:rPr>
              <w:t>November 2,</w:t>
            </w:r>
          </w:p>
        </w:tc>
        <w:tc>
          <w:tcPr>
            <w:tcW w:w="220" w:type="dxa"/>
            <w:vAlign w:val="bottom"/>
          </w:tcPr>
          <w:p>
            <w:pPr>
              <w:spacing w:after="0"/>
              <w:rPr>
                <w:sz w:val="10"/>
                <w:szCs w:val="10"/>
                <w:color w:val="auto"/>
              </w:rPr>
            </w:pPr>
          </w:p>
        </w:tc>
      </w:tr>
      <w:tr>
        <w:trPr>
          <w:trHeight w:val="173"/>
        </w:trPr>
        <w:tc>
          <w:tcPr>
            <w:tcW w:w="3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2025</w:t>
            </w:r>
          </w:p>
        </w:tc>
        <w:tc>
          <w:tcPr>
            <w:tcW w:w="3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2025</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5"/>
                <w:szCs w:val="15"/>
                <w:color w:val="auto"/>
              </w:rPr>
            </w:pPr>
          </w:p>
        </w:tc>
      </w:tr>
      <w:tr>
        <w:trPr>
          <w:trHeight w:val="142"/>
        </w:trPr>
        <w:tc>
          <w:tcPr>
            <w:tcW w:w="3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(dollars</w:t>
            </w:r>
          </w:p>
        </w:tc>
        <w:tc>
          <w:tcPr>
            <w:tcW w:w="2000" w:type="dxa"/>
            <w:vAlign w:val="bottom"/>
            <w:gridSpan w:val="4"/>
          </w:tcPr>
          <w:p>
            <w:pPr>
              <w:jc w:val="right"/>
              <w:ind w:right="994"/>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216"/>
        </w:trPr>
        <w:tc>
          <w:tcPr>
            <w:tcW w:w="3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5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36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gridSpan w:val="2"/>
            <w:shd w:val="clear" w:color="auto" w:fill="CFF0FC"/>
          </w:tcPr>
          <w:p>
            <w:pPr>
              <w:jc w:val="right"/>
              <w:ind w:right="188"/>
              <w:spacing w:after="0"/>
              <w:rPr>
                <w:sz w:val="20"/>
                <w:szCs w:val="20"/>
                <w:color w:val="auto"/>
              </w:rPr>
            </w:pPr>
            <w:r>
              <w:rPr>
                <w:rFonts w:ascii="Times New Roman" w:cs="Times New Roman" w:eastAsia="Times New Roman" w:hAnsi="Times New Roman"/>
                <w:sz w:val="18"/>
                <w:szCs w:val="18"/>
                <w:color w:val="auto"/>
              </w:rPr>
              <w:t>(364)</w:t>
            </w:r>
          </w:p>
        </w:tc>
        <w:tc>
          <w:tcPr>
            <w:tcW w:w="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(28,329)</w:t>
            </w:r>
          </w:p>
        </w:tc>
        <w:tc>
          <w:tcPr>
            <w:tcW w:w="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(24,336)</w:t>
            </w:r>
          </w:p>
        </w:tc>
      </w:tr>
      <w:tr>
        <w:trPr>
          <w:trHeight w:val="216"/>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4,053</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3,317</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10,718</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9,408</w:t>
            </w:r>
          </w:p>
        </w:tc>
        <w:tc>
          <w:tcPr>
            <w:tcW w:w="220" w:type="dxa"/>
            <w:vAlign w:val="bottom"/>
          </w:tcPr>
          <w:p>
            <w:pPr>
              <w:spacing w:after="0"/>
              <w:rPr>
                <w:sz w:val="18"/>
                <w:szCs w:val="18"/>
                <w:color w:val="auto"/>
              </w:rPr>
            </w:pPr>
          </w:p>
        </w:tc>
      </w:tr>
      <w:tr>
        <w:trPr>
          <w:trHeight w:val="216"/>
        </w:trPr>
        <w:tc>
          <w:tcPr>
            <w:tcW w:w="3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3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3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(1,027)</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5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(7,364)</w:t>
            </w:r>
          </w:p>
        </w:tc>
      </w:tr>
      <w:tr>
        <w:trPr>
          <w:trHeight w:val="216"/>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9,619</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9,984</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29,401</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30,536</w:t>
            </w:r>
          </w:p>
        </w:tc>
        <w:tc>
          <w:tcPr>
            <w:tcW w:w="220" w:type="dxa"/>
            <w:vAlign w:val="bottom"/>
          </w:tcPr>
          <w:p>
            <w:pPr>
              <w:spacing w:after="0"/>
              <w:rPr>
                <w:sz w:val="18"/>
                <w:szCs w:val="18"/>
                <w:color w:val="auto"/>
              </w:rPr>
            </w:pPr>
          </w:p>
        </w:tc>
      </w:tr>
      <w:tr>
        <w:trPr>
          <w:trHeight w:val="216"/>
        </w:trPr>
        <w:tc>
          <w:tcPr>
            <w:tcW w:w="3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Stock-based compensation expense (1)</w:t>
            </w:r>
          </w:p>
        </w:tc>
        <w:tc>
          <w:tcPr>
            <w:tcW w:w="3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780</w:t>
            </w:r>
          </w:p>
        </w:tc>
        <w:tc>
          <w:tcPr>
            <w:tcW w:w="3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1,047</w:t>
            </w:r>
          </w:p>
        </w:tc>
        <w:tc>
          <w:tcPr>
            <w:tcW w:w="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2,400</w:t>
            </w:r>
          </w:p>
        </w:tc>
        <w:tc>
          <w:tcPr>
            <w:tcW w:w="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3,438</w:t>
            </w:r>
          </w:p>
        </w:tc>
        <w:tc>
          <w:tcPr>
            <w:tcW w:w="220" w:type="dxa"/>
            <w:vAlign w:val="bottom"/>
            <w:shd w:val="clear" w:color="auto" w:fill="CFF0FC"/>
          </w:tcPr>
          <w:p>
            <w:pPr>
              <w:spacing w:after="0"/>
              <w:rPr>
                <w:sz w:val="18"/>
                <w:szCs w:val="18"/>
                <w:color w:val="auto"/>
              </w:rPr>
            </w:pPr>
          </w:p>
        </w:tc>
      </w:tr>
      <w:tr>
        <w:trPr>
          <w:trHeight w:val="216"/>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Director and officer transition costs (2)</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955</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1,738</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709</w:t>
            </w:r>
          </w:p>
        </w:tc>
        <w:tc>
          <w:tcPr>
            <w:tcW w:w="220" w:type="dxa"/>
            <w:vAlign w:val="bottom"/>
          </w:tcPr>
          <w:p>
            <w:pPr>
              <w:spacing w:after="0"/>
              <w:rPr>
                <w:sz w:val="18"/>
                <w:szCs w:val="18"/>
                <w:color w:val="auto"/>
              </w:rPr>
            </w:pPr>
          </w:p>
        </w:tc>
      </w:tr>
      <w:tr>
        <w:trPr>
          <w:trHeight w:val="216"/>
        </w:trPr>
        <w:tc>
          <w:tcPr>
            <w:tcW w:w="3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Cancelled contract (3)</w:t>
            </w:r>
          </w:p>
        </w:tc>
        <w:tc>
          <w:tcPr>
            <w:tcW w:w="3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70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6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911</w:t>
            </w:r>
          </w:p>
        </w:tc>
        <w:tc>
          <w:tcPr>
            <w:tcW w:w="220" w:type="dxa"/>
            <w:vAlign w:val="bottom"/>
            <w:shd w:val="clear" w:color="auto" w:fill="CFF0FC"/>
          </w:tcPr>
          <w:p>
            <w:pPr>
              <w:spacing w:after="0"/>
              <w:rPr>
                <w:sz w:val="18"/>
                <w:szCs w:val="18"/>
                <w:color w:val="auto"/>
              </w:rPr>
            </w:pPr>
          </w:p>
        </w:tc>
      </w:tr>
      <w:tr>
        <w:trPr>
          <w:trHeight w:val="216"/>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Legal accrual (4)</w:t>
            </w:r>
          </w:p>
        </w:tc>
        <w:tc>
          <w:tcPr>
            <w:tcW w:w="3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3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1,750</w:t>
            </w:r>
          </w:p>
        </w:tc>
        <w:tc>
          <w:tcPr>
            <w:tcW w:w="220" w:type="dxa"/>
            <w:vAlign w:val="bottom"/>
          </w:tcPr>
          <w:p>
            <w:pPr>
              <w:spacing w:after="0"/>
              <w:rPr>
                <w:sz w:val="18"/>
                <w:szCs w:val="18"/>
                <w:color w:val="auto"/>
              </w:rPr>
            </w:pPr>
          </w:p>
        </w:tc>
      </w:tr>
      <w:tr>
        <w:trPr>
          <w:trHeight w:val="230"/>
        </w:trPr>
        <w:tc>
          <w:tcPr>
            <w:tcW w:w="3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5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18,621</w:t>
            </w:r>
          </w:p>
        </w:tc>
        <w:tc>
          <w:tcPr>
            <w:tcW w:w="36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16,380</w:t>
            </w:r>
          </w:p>
        </w:tc>
        <w:tc>
          <w:tcPr>
            <w:tcW w:w="32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17,901</w:t>
            </w:r>
          </w:p>
        </w:tc>
        <w:tc>
          <w:tcPr>
            <w:tcW w:w="32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15,052</w:t>
            </w:r>
          </w:p>
        </w:tc>
        <w:tc>
          <w:tcPr>
            <w:tcW w:w="220" w:type="dxa"/>
            <w:vAlign w:val="bottom"/>
            <w:shd w:val="clear" w:color="auto" w:fill="CFF0FC"/>
          </w:tcPr>
          <w:p>
            <w:pPr>
              <w:spacing w:after="0"/>
              <w:rPr>
                <w:sz w:val="19"/>
                <w:szCs w:val="19"/>
                <w:color w:val="auto"/>
              </w:rPr>
            </w:pPr>
          </w:p>
        </w:tc>
      </w:tr>
      <w:tr>
        <w:trPr>
          <w:trHeight w:val="20"/>
        </w:trPr>
        <w:tc>
          <w:tcPr>
            <w:tcW w:w="318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r>
      <w:tr>
        <w:trPr>
          <w:trHeight w:val="413"/>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Net sales</w:t>
            </w: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331,323</w:t>
            </w:r>
          </w:p>
        </w:tc>
        <w:tc>
          <w:tcPr>
            <w:tcW w:w="360" w:type="dxa"/>
            <w:vAlign w:val="bottom"/>
          </w:tcPr>
          <w:p>
            <w:pPr>
              <w:spacing w:after="0"/>
              <w:rPr>
                <w:sz w:val="24"/>
                <w:szCs w:val="24"/>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324,261</w:t>
            </w:r>
          </w:p>
        </w:tc>
        <w:tc>
          <w:tcPr>
            <w:tcW w:w="320" w:type="dxa"/>
            <w:vAlign w:val="bottom"/>
          </w:tcPr>
          <w:p>
            <w:pPr>
              <w:spacing w:after="0"/>
              <w:rPr>
                <w:sz w:val="24"/>
                <w:szCs w:val="24"/>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874,325</w:t>
            </w:r>
          </w:p>
        </w:tc>
        <w:tc>
          <w:tcPr>
            <w:tcW w:w="320" w:type="dxa"/>
            <w:vAlign w:val="bottom"/>
          </w:tcPr>
          <w:p>
            <w:pPr>
              <w:spacing w:after="0"/>
              <w:rPr>
                <w:sz w:val="24"/>
                <w:szCs w:val="24"/>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857,235</w:t>
            </w:r>
          </w:p>
        </w:tc>
        <w:tc>
          <w:tcPr>
            <w:tcW w:w="220" w:type="dxa"/>
            <w:vAlign w:val="bottom"/>
          </w:tcPr>
          <w:p>
            <w:pPr>
              <w:spacing w:after="0"/>
              <w:rPr>
                <w:sz w:val="24"/>
                <w:szCs w:val="24"/>
                <w:color w:val="auto"/>
              </w:rPr>
            </w:pPr>
          </w:p>
        </w:tc>
      </w:tr>
      <w:tr>
        <w:trPr>
          <w:trHeight w:val="216"/>
        </w:trPr>
        <w:tc>
          <w:tcPr>
            <w:tcW w:w="3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(loss) margin</w:t>
            </w:r>
          </w:p>
        </w:tc>
        <w:tc>
          <w:tcPr>
            <w:tcW w:w="3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7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0.0%</w:t>
            </w:r>
          </w:p>
        </w:tc>
        <w:tc>
          <w:tcPr>
            <w:tcW w:w="240" w:type="dxa"/>
            <w:vAlign w:val="bottom"/>
            <w:shd w:val="clear" w:color="auto" w:fill="CFF0FC"/>
          </w:tcPr>
          <w:p>
            <w:pPr>
              <w:spacing w:after="0"/>
              <w:rPr>
                <w:sz w:val="18"/>
                <w:szCs w:val="18"/>
                <w:color w:val="auto"/>
              </w:rPr>
            </w:pPr>
          </w:p>
        </w:tc>
        <w:tc>
          <w:tcPr>
            <w:tcW w:w="1640" w:type="dxa"/>
            <w:vAlign w:val="bottom"/>
            <w:gridSpan w:val="2"/>
            <w:shd w:val="clear" w:color="auto" w:fill="CFF0FC"/>
          </w:tcPr>
          <w:p>
            <w:pPr>
              <w:jc w:val="right"/>
              <w:ind w:right="28"/>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5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(2.8)%</w:t>
            </w:r>
          </w:p>
        </w:tc>
      </w:tr>
      <w:tr>
        <w:trPr>
          <w:trHeight w:val="234"/>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 margin (5)</w:t>
            </w: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5.6%</w:t>
            </w:r>
          </w:p>
        </w:tc>
        <w:tc>
          <w:tcPr>
            <w:tcW w:w="240" w:type="dxa"/>
            <w:vAlign w:val="bottom"/>
          </w:tcPr>
          <w:p>
            <w:pPr>
              <w:spacing w:after="0"/>
              <w:rPr>
                <w:sz w:val="20"/>
                <w:szCs w:val="20"/>
                <w:color w:val="auto"/>
              </w:rPr>
            </w:pPr>
          </w:p>
        </w:tc>
        <w:tc>
          <w:tcPr>
            <w:tcW w:w="164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3236595</wp:posOffset>
            </wp:positionH>
            <wp:positionV relativeFrom="paragraph">
              <wp:posOffset>-585470</wp:posOffset>
            </wp:positionV>
            <wp:extent cx="111125"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3236595</wp:posOffset>
            </wp:positionH>
            <wp:positionV relativeFrom="paragraph">
              <wp:posOffset>-568325</wp:posOffset>
            </wp:positionV>
            <wp:extent cx="111125"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-585470</wp:posOffset>
            </wp:positionV>
            <wp:extent cx="14605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-568325</wp:posOffset>
            </wp:positionV>
            <wp:extent cx="14605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-585470</wp:posOffset>
            </wp:positionV>
            <wp:extent cx="145415"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-568325</wp:posOffset>
            </wp:positionV>
            <wp:extent cx="145415"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-585470</wp:posOffset>
            </wp:positionV>
            <wp:extent cx="145415"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-568325</wp:posOffset>
            </wp:positionV>
            <wp:extent cx="145415"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74295</wp:posOffset>
            </wp:positionV>
            <wp:extent cx="2374265"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2374265" cy="8255"/>
                    </a:xfrm>
                    <a:prstGeom prst="rect">
                      <a:avLst/>
                    </a:prstGeom>
                    <a:noFill/>
                  </pic:spPr>
                </pic:pic>
              </a:graphicData>
            </a:graphic>
          </wp:anchor>
        </w:drawing>
      </w:r>
    </w:p>
    <w:p>
      <w:pPr>
        <w:spacing w:after="0" w:line="132" w:lineRule="exact"/>
        <w:rPr>
          <w:sz w:val="20"/>
          <w:szCs w:val="20"/>
          <w:color w:val="auto"/>
        </w:rPr>
      </w:pPr>
    </w:p>
    <w:p>
      <w:pPr>
        <w:ind w:left="520" w:hanging="512"/>
        <w:spacing w:after="0"/>
        <w:tabs>
          <w:tab w:leader="none" w:pos="5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non-cash expenses related to equity instruments granted to employees under our equity incentive plan and employee stock purchase plan.</w:t>
      </w:r>
    </w:p>
    <w:p>
      <w:pPr>
        <w:spacing w:after="0" w:line="27" w:lineRule="exact"/>
        <w:rPr>
          <w:rFonts w:ascii="Times New Roman" w:cs="Times New Roman" w:eastAsia="Times New Roman" w:hAnsi="Times New Roman"/>
          <w:sz w:val="18"/>
          <w:szCs w:val="18"/>
          <w:color w:val="auto"/>
        </w:rPr>
      </w:pPr>
    </w:p>
    <w:p>
      <w:pPr>
        <w:ind w:left="520" w:right="460" w:hanging="512"/>
        <w:spacing w:after="0" w:line="250" w:lineRule="auto"/>
        <w:tabs>
          <w:tab w:leader="none" w:pos="5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expenses incurred relating to the departure of directors and officers and the recruitment of directors and key members of our senior management team.</w:t>
      </w:r>
    </w:p>
    <w:p>
      <w:pPr>
        <w:ind w:left="520" w:hanging="512"/>
        <w:spacing w:after="0"/>
        <w:tabs>
          <w:tab w:leader="none" w:pos="5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fees and expenses related to a settlement in the cancellation of a contract related to our information technology systems.</w:t>
      </w:r>
    </w:p>
    <w:p>
      <w:pPr>
        <w:spacing w:after="0" w:line="9"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an accrual for a legal settlement and related fees and expense.</w:t>
      </w:r>
    </w:p>
    <w:p>
      <w:pPr>
        <w:spacing w:after="0" w:line="9" w:lineRule="exact"/>
        <w:rPr>
          <w:rFonts w:ascii="Times New Roman" w:cs="Times New Roman" w:eastAsia="Times New Roman" w:hAnsi="Times New Roman"/>
          <w:sz w:val="18"/>
          <w:szCs w:val="18"/>
          <w:color w:val="auto"/>
        </w:rPr>
      </w:pPr>
    </w:p>
    <w:p>
      <w:pPr>
        <w:ind w:left="520" w:right="220" w:hanging="512"/>
        <w:spacing w:after="0" w:line="260" w:lineRule="auto"/>
        <w:tabs>
          <w:tab w:leader="none" w:pos="5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calculate net income margin as net income divided by net sales and we define Adjusted EBITDA margin as Adjusted EBITDA divided by net sales.</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8185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 smaller reporting company, we are not required to provide the information required by Item 305 of Regulation S-K.</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Controls and Procedures</w:t>
      </w:r>
    </w:p>
    <w:p>
      <w:pPr>
        <w:spacing w:after="0" w:line="121"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Our disclosure controls and procedures (as defined in Rules 13a-15(e) and 15d-15(e) under the Securities Exchange Act of 1934, as amended (the “Exchange Act”) are designed to ensure that information required to be disclosed in the reports that we file or submit under the Exchange Act is recorded, processed, summarized, and reported within the time periods specified in the SEC’s rules and forms and to ensure that information required to be disclosed is accumulated and communicated to our management, including our Chief Executive Officer and Chief Financial Officer, as appropriate, to allow for timely decisions regarding required disclosures. Our management has evaluated, under the supervision and with the participation of our Chief Executive Officer and Chief Financial Officer, the effectiveness of our disclosure controls and procedures (as defined in Rules 13a-15(e) and 15d-15(e) under the Exchange Act) as of the end of the period covered by this 10-Q. Based on that evaluation, our Chief Executive Officer and Chief Financial Officer have concluded that our disclosure controls and procedures were effective as of November 1, 2025.</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Inherent Limitations in Effectiveness of Controls</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Our management, including our Chief Executive Officer and Chief Financial Officer, does not expect that our disclosure controls and procedures, or our internal controls, will prevent all error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the company have been detected. These inherent limitations include the realities that judgments in decision making can be faulty, and that breakdowns can occur because of simple error or mistake or fraud. Additionally, controls can be circumvented by individuals or groups of persons or by an unauthorized override of the controls. Accordingly, because of the inherent limitations in our control system, misstatements in our public reports due to error or fraud may occur and not be detected.</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defined in Rules 13a-15(d) and 15d-15(d) under the Exchange Act) during the 13 weeks ended November 1, 2025 that have materially affected, or are reasonably likely to materially affect, our internal control over financial reporting.</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8185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See Note 13, “Commitments and Contingencies” to our condensed consolidated financial statements for additional information, which is incorporated herein by reference.</w:t>
      </w:r>
    </w:p>
    <w:p>
      <w:pPr>
        <w:spacing w:after="0" w:line="54"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pending lawsuit described in Note 13 of our unaudited interim consolidated financial statements is subject to inherent uncertainties, and the actual defense and disposition costs will depend upon unknown factors. The outcomes of the pending lawsuit are necessarily uncertain. We also could be forced to expend significant resources in the defense of the pending lawsuit, including substantial legal fees and costs.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Our business faces significant risks and uncertainties. Certain important factors may have a material adverse effect on our business prospects, financial condition and results of operations, and you should carefully consider them. There have been no material changes in our risk factors from those set forth in our Fiscal 2024 Form 10-K.</w:t>
      </w:r>
    </w:p>
    <w:p>
      <w:pPr>
        <w:spacing w:after="0" w:line="39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769" w:right="41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8185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31"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There are no disclosures required by this Item 5, including those relating to “Rule 10b5-1 trading arrangements” and “non-Rule 10b5-1 trading arrangements,” as those terms are defined in Item 408 of Regulation S-K.</w:t>
      </w:r>
    </w:p>
    <w:p>
      <w:pPr>
        <w:spacing w:after="0" w:line="39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300"/>
          </w:cols>
          <w:pgMar w:left="320" w:top="769" w:right="127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8185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36" w:lineRule="exact"/>
        <w:rPr>
          <w:sz w:val="20"/>
          <w:szCs w:val="20"/>
          <w:color w:val="auto"/>
        </w:rPr>
      </w:pPr>
    </w:p>
    <w:p>
      <w:pPr>
        <w:ind w:left="240"/>
        <w:spacing w:after="0"/>
        <w:tabs>
          <w:tab w:leader="none" w:pos="6080" w:val="left"/>
        </w:tabs>
        <w:rPr>
          <w:sz w:val="20"/>
          <w:szCs w:val="20"/>
          <w:color w:val="auto"/>
        </w:rPr>
      </w:pPr>
      <w:r>
        <w:rPr>
          <w:rFonts w:ascii="Times New Roman" w:cs="Times New Roman" w:eastAsia="Times New Roman" w:hAnsi="Times New Roman"/>
          <w:sz w:val="14"/>
          <w:szCs w:val="14"/>
          <w:b w:val="1"/>
          <w:bCs w:val="1"/>
          <w:color w:val="auto"/>
        </w:rPr>
        <w:t>Exhibit Number</w:t>
      </w:r>
      <w:r>
        <w:rPr>
          <w:sz w:val="20"/>
          <w:szCs w:val="20"/>
          <w:color w:val="auto"/>
        </w:rPr>
        <w:tab/>
      </w:r>
      <w:r>
        <w:rPr>
          <w:rFonts w:ascii="Times New Roman" w:cs="Times New Roman" w:eastAsia="Times New Roman" w:hAnsi="Times New Roman"/>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3232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20" w:top="769" w:right="419" w:bottom="1440" w:gutter="0" w:footer="0" w:header="0"/>
        </w:sectPr>
      </w:pPr>
    </w:p>
    <w:p>
      <w:pPr>
        <w:spacing w:after="0" w:line="33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3.1</w:t>
      </w:r>
    </w:p>
    <w:p>
      <w:pPr>
        <w:spacing w:after="0" w:line="200" w:lineRule="exact"/>
        <w:rPr>
          <w:sz w:val="20"/>
          <w:szCs w:val="20"/>
          <w:color w:val="auto"/>
        </w:rPr>
      </w:pPr>
    </w:p>
    <w:p>
      <w:pPr>
        <w:spacing w:after="0" w:line="24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3.2</w:t>
      </w:r>
    </w:p>
    <w:p>
      <w:pPr>
        <w:spacing w:after="0" w:line="33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10.1</w:t>
      </w:r>
    </w:p>
    <w:p>
      <w:pPr>
        <w:spacing w:after="0" w:line="22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10.2</w:t>
      </w:r>
    </w:p>
    <w:p>
      <w:pPr>
        <w:spacing w:after="0" w:line="22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31.1*</w:t>
      </w:r>
    </w:p>
    <w:p>
      <w:pPr>
        <w:spacing w:after="0" w:line="22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31.2*</w:t>
      </w:r>
    </w:p>
    <w:p>
      <w:pPr>
        <w:spacing w:after="0" w:line="33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32.1**</w:t>
      </w:r>
    </w:p>
    <w:p>
      <w:pPr>
        <w:spacing w:after="0" w:line="200" w:lineRule="exact"/>
        <w:rPr>
          <w:sz w:val="20"/>
          <w:szCs w:val="20"/>
          <w:color w:val="auto"/>
        </w:rPr>
      </w:pPr>
    </w:p>
    <w:p>
      <w:pPr>
        <w:spacing w:after="0" w:line="24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101.INS*</w:t>
      </w:r>
    </w:p>
    <w:p>
      <w:pPr>
        <w:spacing w:after="0" w:line="333"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8"/>
          <w:szCs w:val="18"/>
          <w:color w:val="auto"/>
        </w:rPr>
        <w:t>101.SCH*</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br w:type="column"/>
      </w:r>
    </w:p>
    <w:p>
      <w:pPr>
        <w:spacing w:after="0" w:line="203" w:lineRule="exact"/>
        <w:rPr>
          <w:sz w:val="20"/>
          <w:szCs w:val="20"/>
          <w:color w:val="auto"/>
        </w:rPr>
      </w:pPr>
    </w:p>
    <w:p>
      <w:pPr>
        <w:spacing w:after="0" w:line="282" w:lineRule="auto"/>
        <w:rPr>
          <w:rFonts w:ascii="Times New Roman" w:cs="Times New Roman" w:eastAsia="Times New Roman" w:hAnsi="Times New Roman"/>
          <w:sz w:val="18"/>
          <w:szCs w:val="18"/>
          <w:u w:val="single" w:color="auto"/>
          <w:color w:val="0000FF"/>
        </w:rPr>
      </w:pPr>
      <w:hyperlink r:id="rId336">
        <w:r>
          <w:rPr>
            <w:rFonts w:ascii="Times New Roman" w:cs="Times New Roman" w:eastAsia="Times New Roman" w:hAnsi="Times New Roman"/>
            <w:sz w:val="18"/>
            <w:szCs w:val="18"/>
            <w:u w:val="single" w:color="auto"/>
            <w:color w:val="0000FF"/>
          </w:rPr>
          <w:t>Amended and Restated Certificate of Incorporation of Sportsman’s Warehouse Holdings, Inc. (incorporated by reference to Exhibit</w:t>
        </w:r>
      </w:hyperlink>
      <w:r>
        <w:rPr>
          <w:rFonts w:ascii="Times New Roman" w:cs="Times New Roman" w:eastAsia="Times New Roman" w:hAnsi="Times New Roman"/>
          <w:sz w:val="18"/>
          <w:szCs w:val="18"/>
          <w:u w:val="single" w:color="auto"/>
          <w:color w:val="0000FF"/>
        </w:rPr>
        <w:t xml:space="preserve"> </w:t>
      </w:r>
      <w:hyperlink r:id="rId336">
        <w:r>
          <w:rPr>
            <w:rFonts w:ascii="Times New Roman" w:cs="Times New Roman" w:eastAsia="Times New Roman" w:hAnsi="Times New Roman"/>
            <w:sz w:val="18"/>
            <w:szCs w:val="18"/>
            <w:u w:val="single" w:color="auto"/>
            <w:color w:val="0000FF"/>
          </w:rPr>
          <w:t>3.1 to the Company’s Current Report on Form 8-K, filed with the SEC on June 8, 2023).</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-1061085</wp:posOffset>
            </wp:positionH>
            <wp:positionV relativeFrom="paragraph">
              <wp:posOffset>-296545</wp:posOffset>
            </wp:positionV>
            <wp:extent cx="7132320" cy="27432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7">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142" w:lineRule="exact"/>
        <w:rPr>
          <w:sz w:val="20"/>
          <w:szCs w:val="20"/>
          <w:color w:val="auto"/>
        </w:rPr>
      </w:pPr>
    </w:p>
    <w:p>
      <w:pPr>
        <w:ind w:right="200"/>
        <w:spacing w:after="0" w:line="282" w:lineRule="auto"/>
        <w:rPr>
          <w:rFonts w:ascii="Times New Roman" w:cs="Times New Roman" w:eastAsia="Times New Roman" w:hAnsi="Times New Roman"/>
          <w:sz w:val="18"/>
          <w:szCs w:val="18"/>
          <w:u w:val="single" w:color="auto"/>
          <w:color w:val="0000FF"/>
        </w:rPr>
      </w:pPr>
      <w:hyperlink r:id="rId338">
        <w:r>
          <w:rPr>
            <w:rFonts w:ascii="Times New Roman" w:cs="Times New Roman" w:eastAsia="Times New Roman" w:hAnsi="Times New Roman"/>
            <w:sz w:val="18"/>
            <w:szCs w:val="18"/>
            <w:u w:val="single" w:color="auto"/>
            <w:color w:val="0000FF"/>
          </w:rPr>
          <w:t>Fourth Amended and Restated Bylaws of Sportsman’s Warehouse Holdings, Inc. (incorporated by reference to Exhibit 3.1 to the</w:t>
        </w:r>
      </w:hyperlink>
      <w:r>
        <w:rPr>
          <w:rFonts w:ascii="Times New Roman" w:cs="Times New Roman" w:eastAsia="Times New Roman" w:hAnsi="Times New Roman"/>
          <w:sz w:val="18"/>
          <w:szCs w:val="18"/>
          <w:u w:val="single" w:color="auto"/>
          <w:color w:val="0000FF"/>
        </w:rPr>
        <w:t xml:space="preserve"> </w:t>
      </w:r>
      <w:hyperlink r:id="rId338">
        <w:r>
          <w:rPr>
            <w:rFonts w:ascii="Times New Roman" w:cs="Times New Roman" w:eastAsia="Times New Roman" w:hAnsi="Times New Roman"/>
            <w:sz w:val="18"/>
            <w:szCs w:val="18"/>
            <w:u w:val="single" w:color="auto"/>
            <w:color w:val="0000FF"/>
          </w:rPr>
          <w:t>Current Report on Form 8-K, filed with the SEC on March 25, 2024).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-1061085</wp:posOffset>
            </wp:positionH>
            <wp:positionV relativeFrom="paragraph">
              <wp:posOffset>-296545</wp:posOffset>
            </wp:positionV>
            <wp:extent cx="7132320" cy="27432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9">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Employment Agreement, dated August 4, 2025, between Sportsman’s Warehouse Holdings, Inc. and Jennifer Fall Jung.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-1061085</wp:posOffset>
            </wp:positionH>
            <wp:positionV relativeFrom="paragraph">
              <wp:posOffset>-119380</wp:posOffset>
            </wp:positionV>
            <wp:extent cx="7132320" cy="13716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4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Separation and Consulting Agreement, dated August 4, 2025, between Sportsman’s Warehouse Holdings, Inc. and Jeff White.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-1061085</wp:posOffset>
            </wp:positionH>
            <wp:positionV relativeFrom="paragraph">
              <wp:posOffset>-119380</wp:posOffset>
            </wp:positionV>
            <wp:extent cx="7132320" cy="13716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4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Certification of Principal Executive Officer pursuant to Section 302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-1061085</wp:posOffset>
            </wp:positionH>
            <wp:positionV relativeFrom="paragraph">
              <wp:posOffset>-119380</wp:posOffset>
            </wp:positionV>
            <wp:extent cx="7132320" cy="13716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Certification of Principal Financial Officer pursuant to Section 302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-1061085</wp:posOffset>
            </wp:positionH>
            <wp:positionV relativeFrom="paragraph">
              <wp:posOffset>-119380</wp:posOffset>
            </wp:positionV>
            <wp:extent cx="7132320" cy="13716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5"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u w:val="single" w:color="auto"/>
          <w:color w:val="0000FF"/>
        </w:rPr>
        <w:t>Certification of Principal Executive Officer and Principal Financial Officer pursuant to 18 U.S.C. 1350, as adopted by Section 906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-1061085</wp:posOffset>
            </wp:positionH>
            <wp:positionV relativeFrom="paragraph">
              <wp:posOffset>-296545</wp:posOffset>
            </wp:positionV>
            <wp:extent cx="7132320" cy="27432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4">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142"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its XBRL tags are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-1061085</wp:posOffset>
            </wp:positionH>
            <wp:positionV relativeFrom="paragraph">
              <wp:posOffset>-296545</wp:posOffset>
            </wp:positionV>
            <wp:extent cx="7132320" cy="27432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5">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-1061085</wp:posOffset>
            </wp:positionH>
            <wp:positionV relativeFrom="paragraph">
              <wp:posOffset>-119380</wp:posOffset>
            </wp:positionV>
            <wp:extent cx="7132320" cy="13716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-1061085</wp:posOffset>
            </wp:positionH>
            <wp:positionV relativeFrom="paragraph">
              <wp:posOffset>-119380</wp:posOffset>
            </wp:positionV>
            <wp:extent cx="7132320" cy="13716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-1061085</wp:posOffset>
            </wp:positionH>
            <wp:positionV relativeFrom="paragraph">
              <wp:posOffset>154305</wp:posOffset>
            </wp:positionV>
            <wp:extent cx="713232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120" w:space="560"/>
            <w:col w:w="9480"/>
          </w:cols>
          <w:pgMar w:left="320" w:top="769" w:right="419" w:bottom="1440" w:gutter="0" w:footer="0" w:header="0"/>
          <w:type w:val="continuous"/>
        </w:sectPr>
      </w:pPr>
    </w:p>
    <w:p>
      <w:pPr>
        <w:spacing w:after="0" w:line="250" w:lineRule="exact"/>
        <w:rPr>
          <w:sz w:val="20"/>
          <w:szCs w:val="20"/>
          <w:color w:val="auto"/>
        </w:rPr>
      </w:pPr>
    </w:p>
    <w:p>
      <w:pPr>
        <w:ind w:left="340" w:hanging="332"/>
        <w:spacing w:after="0"/>
        <w:tabs>
          <w:tab w:leader="none" w:pos="34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Filed herewith.</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769" w:right="419" w:bottom="1440" w:gutter="0" w:footer="0" w:header="0"/>
          <w:type w:val="continuous"/>
        </w:sectPr>
      </w:pPr>
    </w:p>
    <w:bookmarkStart w:id="40" w:name="page41"/>
    <w:bookmarkEnd w:id="40"/>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50">
                      <a:extLst>
                        <a:ext uri="{28A0092B-C50C-407E-A947-70E740481C1C}"/>
                      </a:extLst>
                    </a:blip>
                    <a:srcRect/>
                    <a:stretch>
                      <a:fillRect/>
                    </a:stretch>
                  </pic:blipFill>
                  <pic:spPr bwMode="auto">
                    <a:xfrm>
                      <a:off x="0" y="0"/>
                      <a:ext cx="8185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7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SPORTSMAN’S WAREHOUSE HOLDINGS, INC.</w:t>
      </w:r>
    </w:p>
    <w:p>
      <w:pPr>
        <w:spacing w:after="0" w:line="229" w:lineRule="exact"/>
        <w:rPr>
          <w:sz w:val="20"/>
          <w:szCs w:val="20"/>
          <w:color w:val="auto"/>
        </w:rPr>
      </w:pPr>
    </w:p>
    <w:p>
      <w:pPr>
        <w:spacing w:after="0"/>
        <w:tabs>
          <w:tab w:leader="none" w:pos="5620" w:val="left"/>
          <w:tab w:leader="none" w:pos="8160" w:val="left"/>
        </w:tabs>
        <w:rPr>
          <w:sz w:val="20"/>
          <w:szCs w:val="20"/>
          <w:color w:val="auto"/>
        </w:rPr>
      </w:pPr>
      <w:r>
        <w:rPr>
          <w:rFonts w:ascii="Times New Roman" w:cs="Times New Roman" w:eastAsia="Times New Roman" w:hAnsi="Times New Roman"/>
          <w:sz w:val="18"/>
          <w:szCs w:val="18"/>
          <w:color w:val="auto"/>
        </w:rPr>
        <w:t>Date: December 4,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/s/Paul Stone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51">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21" w:lineRule="exact"/>
        <w:rPr>
          <w:sz w:val="20"/>
          <w:szCs w:val="20"/>
          <w:color w:val="auto"/>
        </w:rPr>
      </w:pPr>
    </w:p>
    <w:p>
      <w:pPr>
        <w:jc w:val="center"/>
        <w:ind w:left="6040"/>
        <w:spacing w:after="0"/>
        <w:rPr>
          <w:sz w:val="20"/>
          <w:szCs w:val="20"/>
          <w:color w:val="auto"/>
        </w:rPr>
      </w:pPr>
      <w:r>
        <w:rPr>
          <w:rFonts w:ascii="Times New Roman" w:cs="Times New Roman" w:eastAsia="Times New Roman" w:hAnsi="Times New Roman"/>
          <w:sz w:val="18"/>
          <w:szCs w:val="18"/>
          <w:b w:val="1"/>
          <w:bCs w:val="1"/>
          <w:color w:val="auto"/>
        </w:rPr>
        <w:t>Paul Stone</w:t>
      </w:r>
    </w:p>
    <w:p>
      <w:pPr>
        <w:spacing w:after="0" w:line="9" w:lineRule="exact"/>
        <w:rPr>
          <w:sz w:val="20"/>
          <w:szCs w:val="20"/>
          <w:color w:val="auto"/>
        </w:rPr>
      </w:pPr>
    </w:p>
    <w:p>
      <w:pPr>
        <w:jc w:val="center"/>
        <w:ind w:left="604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spacing w:after="0" w:line="9" w:lineRule="exact"/>
        <w:rPr>
          <w:sz w:val="20"/>
          <w:szCs w:val="20"/>
          <w:color w:val="auto"/>
        </w:rPr>
      </w:pPr>
    </w:p>
    <w:p>
      <w:pPr>
        <w:jc w:val="center"/>
        <w:ind w:left="604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7" w:lineRule="exact"/>
        <w:rPr>
          <w:sz w:val="20"/>
          <w:szCs w:val="20"/>
          <w:color w:val="auto"/>
        </w:rPr>
      </w:pPr>
    </w:p>
    <w:p>
      <w:pPr>
        <w:spacing w:after="0"/>
        <w:tabs>
          <w:tab w:leader="none" w:pos="5620" w:val="left"/>
          <w:tab w:leader="none" w:pos="7900" w:val="left"/>
        </w:tabs>
        <w:rPr>
          <w:sz w:val="20"/>
          <w:szCs w:val="20"/>
          <w:color w:val="auto"/>
        </w:rPr>
      </w:pPr>
      <w:r>
        <w:rPr>
          <w:rFonts w:ascii="Times New Roman" w:cs="Times New Roman" w:eastAsia="Times New Roman" w:hAnsi="Times New Roman"/>
          <w:sz w:val="18"/>
          <w:szCs w:val="18"/>
          <w:color w:val="auto"/>
        </w:rPr>
        <w:t>Date: December 4,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/s/Jennifer Fall Jung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2">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21" w:lineRule="exact"/>
        <w:rPr>
          <w:sz w:val="20"/>
          <w:szCs w:val="20"/>
          <w:color w:val="auto"/>
        </w:rPr>
      </w:pPr>
    </w:p>
    <w:p>
      <w:pPr>
        <w:jc w:val="center"/>
        <w:ind w:left="6040"/>
        <w:spacing w:after="0"/>
        <w:rPr>
          <w:sz w:val="20"/>
          <w:szCs w:val="20"/>
          <w:color w:val="auto"/>
        </w:rPr>
      </w:pPr>
      <w:r>
        <w:rPr>
          <w:rFonts w:ascii="Times New Roman" w:cs="Times New Roman" w:eastAsia="Times New Roman" w:hAnsi="Times New Roman"/>
          <w:sz w:val="18"/>
          <w:szCs w:val="18"/>
          <w:b w:val="1"/>
          <w:bCs w:val="1"/>
          <w:color w:val="auto"/>
        </w:rPr>
        <w:t>Jennifer Fall Jung</w:t>
      </w:r>
    </w:p>
    <w:p>
      <w:pPr>
        <w:spacing w:after="0" w:line="9" w:lineRule="exact"/>
        <w:rPr>
          <w:sz w:val="20"/>
          <w:szCs w:val="20"/>
          <w:color w:val="auto"/>
        </w:rPr>
      </w:pPr>
    </w:p>
    <w:p>
      <w:pPr>
        <w:jc w:val="center"/>
        <w:ind w:left="604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9" w:lineRule="exact"/>
        <w:rPr>
          <w:sz w:val="20"/>
          <w:szCs w:val="20"/>
          <w:color w:val="auto"/>
        </w:rPr>
      </w:pPr>
    </w:p>
    <w:p>
      <w:pPr>
        <w:jc w:val="center"/>
        <w:ind w:left="6040"/>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9" w:right="37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8"/>
          <w:szCs w:val="18"/>
          <w:b w:val="1"/>
          <w:bCs w:val="1"/>
          <w:color w:val="auto"/>
        </w:rPr>
        <w:t>CERTIFICATION OF THE PRINCIPAL EXECUTIVE OFFICER</w:t>
      </w:r>
    </w:p>
    <w:p>
      <w:pPr>
        <w:spacing w:after="0" w:line="31"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Paul Stone, certify that:</w:t>
      </w:r>
    </w:p>
    <w:p>
      <w:pPr>
        <w:spacing w:after="0" w:line="117" w:lineRule="exact"/>
        <w:rPr>
          <w:sz w:val="20"/>
          <w:szCs w:val="20"/>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Sportsman’s Warehouse Holdings, Inc.;</w:t>
      </w:r>
    </w:p>
    <w:p>
      <w:pPr>
        <w:spacing w:after="0" w:line="117" w:lineRule="exact"/>
        <w:rPr>
          <w:rFonts w:ascii="Times New Roman" w:cs="Times New Roman" w:eastAsia="Times New Roman" w:hAnsi="Times New Roman"/>
          <w:sz w:val="18"/>
          <w:szCs w:val="18"/>
          <w:color w:val="auto"/>
        </w:rPr>
      </w:pPr>
    </w:p>
    <w:p>
      <w:pPr>
        <w:jc w:val="both"/>
        <w:ind w:left="1020" w:right="20" w:hanging="503"/>
        <w:spacing w:after="0" w:line="266"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1020" w:right="500" w:hanging="503"/>
        <w:spacing w:after="0" w:line="312" w:lineRule="auto"/>
        <w:tabs>
          <w:tab w:leader="none" w:pos="102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1" w:lineRule="exact"/>
        <w:rPr>
          <w:rFonts w:ascii="Times New Roman" w:cs="Times New Roman" w:eastAsia="Times New Roman" w:hAnsi="Times New Roman"/>
          <w:sz w:val="17"/>
          <w:szCs w:val="17"/>
          <w:color w:val="auto"/>
        </w:rPr>
      </w:pPr>
    </w:p>
    <w:p>
      <w:pPr>
        <w:ind w:left="1020" w:right="120" w:hanging="503"/>
        <w:spacing w:after="0" w:line="266"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540" w:right="120" w:hanging="514"/>
        <w:spacing w:after="0" w:line="266" w:lineRule="auto"/>
        <w:tabs>
          <w:tab w:leader="none" w:pos="154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540" w:right="180" w:hanging="514"/>
        <w:spacing w:after="0" w:line="266" w:lineRule="auto"/>
        <w:tabs>
          <w:tab w:leader="none" w:pos="154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1540" w:right="20" w:hanging="514"/>
        <w:spacing w:after="0" w:line="266" w:lineRule="auto"/>
        <w:tabs>
          <w:tab w:leader="none" w:pos="154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ind w:left="1540" w:right="360" w:hanging="514"/>
        <w:spacing w:after="0" w:line="266" w:lineRule="auto"/>
        <w:tabs>
          <w:tab w:leader="none" w:pos="154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1020" w:right="80" w:hanging="503"/>
        <w:spacing w:after="0" w:line="312" w:lineRule="auto"/>
        <w:tabs>
          <w:tab w:leader="none" w:pos="102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1" w:lineRule="exact"/>
        <w:rPr>
          <w:rFonts w:ascii="Times New Roman" w:cs="Times New Roman" w:eastAsia="Times New Roman" w:hAnsi="Times New Roman"/>
          <w:sz w:val="17"/>
          <w:szCs w:val="17"/>
          <w:color w:val="auto"/>
        </w:rPr>
      </w:pPr>
    </w:p>
    <w:p>
      <w:pPr>
        <w:ind w:left="1540" w:right="220" w:hanging="514"/>
        <w:spacing w:after="0" w:line="282" w:lineRule="auto"/>
        <w:tabs>
          <w:tab w:leader="none" w:pos="154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540" w:right="500" w:hanging="514"/>
        <w:spacing w:after="0" w:line="282" w:lineRule="auto"/>
        <w:tabs>
          <w:tab w:leader="none" w:pos="154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December 4, 2025</w:t>
      </w:r>
    </w:p>
    <w:p>
      <w:pPr>
        <w:spacing w:after="0" w:line="239" w:lineRule="exact"/>
        <w:rPr>
          <w:sz w:val="20"/>
          <w:szCs w:val="20"/>
          <w:color w:val="auto"/>
        </w:rPr>
      </w:pPr>
    </w:p>
    <w:p>
      <w:pPr>
        <w:jc w:val="center"/>
        <w:ind w:right="5240"/>
        <w:spacing w:after="0"/>
        <w:rPr>
          <w:sz w:val="20"/>
          <w:szCs w:val="20"/>
          <w:color w:val="auto"/>
        </w:rPr>
      </w:pPr>
      <w:r>
        <w:rPr>
          <w:rFonts w:ascii="Times New Roman" w:cs="Times New Roman" w:eastAsia="Times New Roman" w:hAnsi="Times New Roman"/>
          <w:sz w:val="18"/>
          <w:szCs w:val="18"/>
          <w:color w:val="auto"/>
        </w:rPr>
        <w:t>/s/ Paul Stone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806190"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4">
                      <a:extLst>
                        <a:ext uri="{28A0092B-C50C-407E-A947-70E740481C1C}"/>
                      </a:extLst>
                    </a:blip>
                    <a:srcRect/>
                    <a:stretch>
                      <a:fillRect/>
                    </a:stretch>
                  </pic:blipFill>
                  <pic:spPr bwMode="auto">
                    <a:xfrm>
                      <a:off x="0" y="0"/>
                      <a:ext cx="3806190" cy="8255"/>
                    </a:xfrm>
                    <a:prstGeom prst="rect">
                      <a:avLst/>
                    </a:prstGeom>
                    <a:noFill/>
                  </pic:spPr>
                </pic:pic>
              </a:graphicData>
            </a:graphic>
          </wp:anchor>
        </w:drawing>
      </w:r>
    </w:p>
    <w:p>
      <w:pPr>
        <w:spacing w:after="0" w:line="2" w:lineRule="exact"/>
        <w:rPr>
          <w:sz w:val="20"/>
          <w:szCs w:val="20"/>
          <w:color w:val="auto"/>
        </w:rPr>
      </w:pPr>
    </w:p>
    <w:p>
      <w:pPr>
        <w:jc w:val="center"/>
        <w:ind w:right="5240"/>
        <w:spacing w:after="0"/>
        <w:rPr>
          <w:sz w:val="20"/>
          <w:szCs w:val="20"/>
          <w:color w:val="auto"/>
        </w:rPr>
      </w:pPr>
      <w:r>
        <w:rPr>
          <w:rFonts w:ascii="Times New Roman" w:cs="Times New Roman" w:eastAsia="Times New Roman" w:hAnsi="Times New Roman"/>
          <w:sz w:val="14"/>
          <w:szCs w:val="14"/>
          <w:b w:val="1"/>
          <w:bCs w:val="1"/>
          <w:color w:val="auto"/>
        </w:rPr>
        <w:t>Paul Stone</w:t>
      </w:r>
    </w:p>
    <w:p>
      <w:pPr>
        <w:jc w:val="center"/>
        <w:ind w:right="5240"/>
        <w:spacing w:after="0" w:line="221" w:lineRule="auto"/>
        <w:rPr>
          <w:sz w:val="20"/>
          <w:szCs w:val="20"/>
          <w:color w:val="auto"/>
        </w:rPr>
      </w:pPr>
      <w:r>
        <w:rPr>
          <w:rFonts w:ascii="Times New Roman" w:cs="Times New Roman" w:eastAsia="Times New Roman" w:hAnsi="Times New Roman"/>
          <w:sz w:val="14"/>
          <w:szCs w:val="14"/>
          <w:i w:val="1"/>
          <w:iCs w:val="1"/>
          <w:color w:val="auto"/>
        </w:rPr>
        <w:t>President and Chief Executive Officer</w:t>
      </w:r>
    </w:p>
    <w:p>
      <w:pPr>
        <w:jc w:val="center"/>
        <w:ind w:right="5240"/>
        <w:spacing w:after="0"/>
        <w:rPr>
          <w:sz w:val="20"/>
          <w:szCs w:val="20"/>
          <w:color w:val="auto"/>
        </w:rPr>
      </w:pPr>
      <w:r>
        <w:rPr>
          <w:rFonts w:ascii="Times New Roman" w:cs="Times New Roman" w:eastAsia="Times New Roman" w:hAnsi="Times New Roman"/>
          <w:sz w:val="14"/>
          <w:szCs w:val="14"/>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918210</wp:posOffset>
            </wp:positionV>
            <wp:extent cx="7157720" cy="425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42" w:name="page43"/>
    <w:bookmarkEnd w:id="42"/>
    <w:p>
      <w:pPr>
        <w:ind w:left="10260"/>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 OF THE PRINCIPAL FINANCIAL OFFICER</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Jennifer Fall Jung, certify that:</w:t>
      </w:r>
    </w:p>
    <w:p>
      <w:pPr>
        <w:spacing w:after="0" w:line="117" w:lineRule="exact"/>
        <w:rPr>
          <w:sz w:val="20"/>
          <w:szCs w:val="20"/>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Sportsman’s Warehouse Holdings, Inc.;</w:t>
      </w:r>
    </w:p>
    <w:p>
      <w:pPr>
        <w:spacing w:after="0" w:line="11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1020" w:right="480" w:hanging="503"/>
        <w:spacing w:after="0" w:line="312" w:lineRule="auto"/>
        <w:tabs>
          <w:tab w:leader="none" w:pos="10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1" w:lineRule="exact"/>
        <w:rPr>
          <w:rFonts w:ascii="Times New Roman" w:cs="Times New Roman" w:eastAsia="Times New Roman" w:hAnsi="Times New Roman"/>
          <w:sz w:val="17"/>
          <w:szCs w:val="17"/>
          <w:color w:val="auto"/>
        </w:rPr>
      </w:pPr>
    </w:p>
    <w:p>
      <w:pPr>
        <w:ind w:left="1020" w:right="100" w:hanging="503"/>
        <w:spacing w:after="0" w:line="266"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540" w:right="100" w:hanging="514"/>
        <w:spacing w:after="0" w:line="266" w:lineRule="auto"/>
        <w:tabs>
          <w:tab w:leader="none" w:pos="154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540" w:right="160" w:hanging="514"/>
        <w:spacing w:after="0" w:line="266" w:lineRule="auto"/>
        <w:tabs>
          <w:tab w:leader="none" w:pos="154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1540" w:hanging="514"/>
        <w:spacing w:after="0" w:line="266" w:lineRule="auto"/>
        <w:tabs>
          <w:tab w:leader="none" w:pos="154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ind w:left="1540" w:right="340" w:hanging="514"/>
        <w:spacing w:after="0" w:line="266" w:lineRule="auto"/>
        <w:tabs>
          <w:tab w:leader="none" w:pos="154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1020" w:right="60" w:hanging="503"/>
        <w:spacing w:after="0" w:line="312" w:lineRule="auto"/>
        <w:tabs>
          <w:tab w:leader="none" w:pos="10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1" w:lineRule="exact"/>
        <w:rPr>
          <w:rFonts w:ascii="Times New Roman" w:cs="Times New Roman" w:eastAsia="Times New Roman" w:hAnsi="Times New Roman"/>
          <w:sz w:val="17"/>
          <w:szCs w:val="17"/>
          <w:color w:val="auto"/>
        </w:rPr>
      </w:pPr>
    </w:p>
    <w:p>
      <w:pPr>
        <w:ind w:left="1540" w:right="200" w:hanging="514"/>
        <w:spacing w:after="0" w:line="282" w:lineRule="auto"/>
        <w:tabs>
          <w:tab w:leader="none" w:pos="154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540" w:right="480" w:hanging="514"/>
        <w:spacing w:after="0" w:line="282" w:lineRule="auto"/>
        <w:tabs>
          <w:tab w:leader="none" w:pos="154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December 4, 2025</w:t>
      </w:r>
    </w:p>
    <w:p>
      <w:pPr>
        <w:spacing w:after="0" w:line="239" w:lineRule="exact"/>
        <w:rPr>
          <w:sz w:val="20"/>
          <w:szCs w:val="20"/>
          <w:color w:val="auto"/>
        </w:rPr>
      </w:pPr>
    </w:p>
    <w:p>
      <w:pPr>
        <w:jc w:val="center"/>
        <w:ind w:right="5260"/>
        <w:spacing w:after="0"/>
        <w:rPr>
          <w:sz w:val="20"/>
          <w:szCs w:val="20"/>
          <w:color w:val="auto"/>
        </w:rPr>
      </w:pPr>
      <w:r>
        <w:rPr>
          <w:rFonts w:ascii="Times New Roman" w:cs="Times New Roman" w:eastAsia="Times New Roman" w:hAnsi="Times New Roman"/>
          <w:sz w:val="18"/>
          <w:szCs w:val="18"/>
          <w:color w:val="auto"/>
        </w:rPr>
        <w:t>/s/ Jennifer Fall Jung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780155"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6">
                      <a:extLst>
                        <a:ext uri="{28A0092B-C50C-407E-A947-70E740481C1C}"/>
                      </a:extLst>
                    </a:blip>
                    <a:srcRect/>
                    <a:stretch>
                      <a:fillRect/>
                    </a:stretch>
                  </pic:blipFill>
                  <pic:spPr bwMode="auto">
                    <a:xfrm>
                      <a:off x="0" y="0"/>
                      <a:ext cx="3780155" cy="8890"/>
                    </a:xfrm>
                    <a:prstGeom prst="rect">
                      <a:avLst/>
                    </a:prstGeom>
                    <a:noFill/>
                  </pic:spPr>
                </pic:pic>
              </a:graphicData>
            </a:graphic>
          </wp:anchor>
        </w:drawing>
      </w:r>
    </w:p>
    <w:p>
      <w:pPr>
        <w:spacing w:after="0" w:line="2" w:lineRule="exact"/>
        <w:rPr>
          <w:sz w:val="20"/>
          <w:szCs w:val="20"/>
          <w:color w:val="auto"/>
        </w:rPr>
      </w:pPr>
    </w:p>
    <w:p>
      <w:pPr>
        <w:jc w:val="center"/>
        <w:ind w:right="5260"/>
        <w:spacing w:after="0"/>
        <w:rPr>
          <w:sz w:val="20"/>
          <w:szCs w:val="20"/>
          <w:color w:val="auto"/>
        </w:rPr>
      </w:pPr>
      <w:r>
        <w:rPr>
          <w:rFonts w:ascii="Times New Roman" w:cs="Times New Roman" w:eastAsia="Times New Roman" w:hAnsi="Times New Roman"/>
          <w:sz w:val="14"/>
          <w:szCs w:val="14"/>
          <w:b w:val="1"/>
          <w:bCs w:val="1"/>
          <w:color w:val="auto"/>
        </w:rPr>
        <w:t>Jennifer Fall Jung</w:t>
      </w:r>
    </w:p>
    <w:p>
      <w:pPr>
        <w:jc w:val="center"/>
        <w:ind w:right="5260"/>
        <w:spacing w:after="0" w:line="221" w:lineRule="auto"/>
        <w:rPr>
          <w:sz w:val="20"/>
          <w:szCs w:val="20"/>
          <w:color w:val="auto"/>
        </w:rPr>
      </w:pPr>
      <w:r>
        <w:rPr>
          <w:rFonts w:ascii="Times New Roman" w:cs="Times New Roman" w:eastAsia="Times New Roman" w:hAnsi="Times New Roman"/>
          <w:sz w:val="14"/>
          <w:szCs w:val="14"/>
          <w:i w:val="1"/>
          <w:iCs w:val="1"/>
          <w:color w:val="auto"/>
        </w:rPr>
        <w:t>Chief Financial Officer and Secretary</w:t>
      </w:r>
    </w:p>
    <w:p>
      <w:pPr>
        <w:jc w:val="center"/>
        <w:ind w:right="5260"/>
        <w:spacing w:after="0"/>
        <w:rPr>
          <w:sz w:val="20"/>
          <w:szCs w:val="20"/>
          <w:color w:val="auto"/>
        </w:rPr>
      </w:pPr>
      <w:r>
        <w:rPr>
          <w:rFonts w:ascii="Times New Roman" w:cs="Times New Roman" w:eastAsia="Times New Roman" w:hAnsi="Times New Roman"/>
          <w:sz w:val="14"/>
          <w:szCs w:val="14"/>
          <w:i w:val="1"/>
          <w:iCs w:val="1"/>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918210</wp:posOffset>
            </wp:positionV>
            <wp:extent cx="7157720" cy="425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1" w:right="359"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31"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b w:val="1"/>
          <w:bCs w:val="1"/>
          <w:color w:val="auto"/>
        </w:rPr>
        <w:t>AS ADOPTED</w:t>
      </w:r>
    </w:p>
    <w:p>
      <w:pPr>
        <w:spacing w:after="0" w:line="9"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PURSUANT TO SECTION 906 OF THE</w:t>
      </w:r>
    </w:p>
    <w:p>
      <w:pPr>
        <w:spacing w:after="0" w:line="9"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SARBANES-OXLEY ACT OF 2002</w:t>
      </w:r>
    </w:p>
    <w:p>
      <w:pPr>
        <w:spacing w:after="0" w:line="207" w:lineRule="exact"/>
        <w:rPr>
          <w:sz w:val="20"/>
          <w:szCs w:val="20"/>
          <w:color w:val="auto"/>
        </w:rPr>
      </w:pPr>
    </w:p>
    <w:p>
      <w:pPr>
        <w:ind w:right="280" w:firstLine="509"/>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on Form 10-Q of Sportsman’s Warehouse Holdings, Inc. (the “Registrant”) for the fiscal quarter ended November 1, 2025, as filed with the Securities and Exchange Commission on the date hereof (the “Report”), Paul Stone, President and Chief Executive Officer of the Registrant, and Jennifer Fall Jung, Chief Financial Officer and Secretary of the Registrant, hereby certify, pursuant to 18 U.S.C. Section 1350, as adopted pursuant to Section 906 of the Sarbanes-Oxley Act of 2002, that, to the best of their knowledge:</w:t>
      </w:r>
    </w:p>
    <w:p>
      <w:pPr>
        <w:spacing w:after="0" w:line="72" w:lineRule="exact"/>
        <w:rPr>
          <w:sz w:val="20"/>
          <w:szCs w:val="20"/>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1020" w:right="500" w:hanging="503"/>
        <w:spacing w:after="0" w:line="282"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Registrant.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December 4, 2025</w:t>
      </w:r>
    </w:p>
    <w:p>
      <w:pPr>
        <w:spacing w:after="0" w:line="239" w:lineRule="exact"/>
        <w:rPr>
          <w:sz w:val="20"/>
          <w:szCs w:val="20"/>
          <w:color w:val="auto"/>
        </w:rPr>
      </w:pPr>
    </w:p>
    <w:p>
      <w:pPr>
        <w:jc w:val="center"/>
        <w:ind w:right="5260"/>
        <w:spacing w:after="0"/>
        <w:rPr>
          <w:sz w:val="20"/>
          <w:szCs w:val="20"/>
          <w:color w:val="auto"/>
        </w:rPr>
      </w:pPr>
      <w:r>
        <w:rPr>
          <w:rFonts w:ascii="Times New Roman" w:cs="Times New Roman" w:eastAsia="Times New Roman" w:hAnsi="Times New Roman"/>
          <w:sz w:val="18"/>
          <w:szCs w:val="18"/>
          <w:color w:val="auto"/>
        </w:rPr>
        <w:t>/s/ Paul Stone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780155"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8">
                      <a:extLst>
                        <a:ext uri="{28A0092B-C50C-407E-A947-70E740481C1C}"/>
                      </a:extLst>
                    </a:blip>
                    <a:srcRect/>
                    <a:stretch>
                      <a:fillRect/>
                    </a:stretch>
                  </pic:blipFill>
                  <pic:spPr bwMode="auto">
                    <a:xfrm>
                      <a:off x="0" y="0"/>
                      <a:ext cx="3780155" cy="8255"/>
                    </a:xfrm>
                    <a:prstGeom prst="rect">
                      <a:avLst/>
                    </a:prstGeom>
                    <a:noFill/>
                  </pic:spPr>
                </pic:pic>
              </a:graphicData>
            </a:graphic>
          </wp:anchor>
        </w:drawing>
      </w:r>
    </w:p>
    <w:p>
      <w:pPr>
        <w:spacing w:after="0" w:line="2" w:lineRule="exact"/>
        <w:rPr>
          <w:sz w:val="20"/>
          <w:szCs w:val="20"/>
          <w:color w:val="auto"/>
        </w:rPr>
      </w:pPr>
    </w:p>
    <w:p>
      <w:pPr>
        <w:jc w:val="center"/>
        <w:ind w:right="5260"/>
        <w:spacing w:after="0"/>
        <w:rPr>
          <w:sz w:val="20"/>
          <w:szCs w:val="20"/>
          <w:color w:val="auto"/>
        </w:rPr>
      </w:pPr>
      <w:r>
        <w:rPr>
          <w:rFonts w:ascii="Times New Roman" w:cs="Times New Roman" w:eastAsia="Times New Roman" w:hAnsi="Times New Roman"/>
          <w:sz w:val="14"/>
          <w:szCs w:val="14"/>
          <w:b w:val="1"/>
          <w:bCs w:val="1"/>
          <w:color w:val="auto"/>
        </w:rPr>
        <w:t>Paul Stone</w:t>
      </w:r>
    </w:p>
    <w:p>
      <w:pPr>
        <w:jc w:val="center"/>
        <w:ind w:right="5260"/>
        <w:spacing w:after="0" w:line="221" w:lineRule="auto"/>
        <w:rPr>
          <w:sz w:val="20"/>
          <w:szCs w:val="20"/>
          <w:color w:val="auto"/>
        </w:rPr>
      </w:pPr>
      <w:r>
        <w:rPr>
          <w:rFonts w:ascii="Times New Roman" w:cs="Times New Roman" w:eastAsia="Times New Roman" w:hAnsi="Times New Roman"/>
          <w:sz w:val="14"/>
          <w:szCs w:val="14"/>
          <w:i w:val="1"/>
          <w:iCs w:val="1"/>
          <w:color w:val="auto"/>
        </w:rPr>
        <w:t>President and Chief Executive Officer</w:t>
      </w:r>
    </w:p>
    <w:p>
      <w:pPr>
        <w:jc w:val="center"/>
        <w:ind w:right="5260"/>
        <w:spacing w:after="0"/>
        <w:rPr>
          <w:sz w:val="20"/>
          <w:szCs w:val="20"/>
          <w:color w:val="auto"/>
        </w:rPr>
      </w:pPr>
      <w:r>
        <w:rPr>
          <w:rFonts w:ascii="Times New Roman" w:cs="Times New Roman" w:eastAsia="Times New Roman" w:hAnsi="Times New Roman"/>
          <w:sz w:val="14"/>
          <w:szCs w:val="14"/>
          <w:i w:val="1"/>
          <w:iCs w:val="1"/>
          <w:color w:val="auto"/>
        </w:rPr>
        <w:t>(Principal Executive Officer)</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December 4, 2025</w:t>
      </w:r>
    </w:p>
    <w:p>
      <w:pPr>
        <w:spacing w:after="0" w:line="239" w:lineRule="exact"/>
        <w:rPr>
          <w:sz w:val="20"/>
          <w:szCs w:val="20"/>
          <w:color w:val="auto"/>
        </w:rPr>
      </w:pPr>
    </w:p>
    <w:p>
      <w:pPr>
        <w:jc w:val="center"/>
        <w:ind w:right="5260"/>
        <w:spacing w:after="0"/>
        <w:rPr>
          <w:sz w:val="20"/>
          <w:szCs w:val="20"/>
          <w:color w:val="auto"/>
        </w:rPr>
      </w:pPr>
      <w:r>
        <w:rPr>
          <w:rFonts w:ascii="Times New Roman" w:cs="Times New Roman" w:eastAsia="Times New Roman" w:hAnsi="Times New Roman"/>
          <w:sz w:val="18"/>
          <w:szCs w:val="18"/>
          <w:color w:val="auto"/>
        </w:rPr>
        <w:t>/s/ Jennifer Fall Jung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780155"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9">
                      <a:extLst>
                        <a:ext uri="{28A0092B-C50C-407E-A947-70E740481C1C}"/>
                      </a:extLst>
                    </a:blip>
                    <a:srcRect/>
                    <a:stretch>
                      <a:fillRect/>
                    </a:stretch>
                  </pic:blipFill>
                  <pic:spPr bwMode="auto">
                    <a:xfrm>
                      <a:off x="0" y="0"/>
                      <a:ext cx="3780155" cy="8255"/>
                    </a:xfrm>
                    <a:prstGeom prst="rect">
                      <a:avLst/>
                    </a:prstGeom>
                    <a:noFill/>
                  </pic:spPr>
                </pic:pic>
              </a:graphicData>
            </a:graphic>
          </wp:anchor>
        </w:drawing>
      </w:r>
    </w:p>
    <w:p>
      <w:pPr>
        <w:spacing w:after="0" w:line="2" w:lineRule="exact"/>
        <w:rPr>
          <w:sz w:val="20"/>
          <w:szCs w:val="20"/>
          <w:color w:val="auto"/>
        </w:rPr>
      </w:pPr>
    </w:p>
    <w:p>
      <w:pPr>
        <w:jc w:val="center"/>
        <w:ind w:right="5260"/>
        <w:spacing w:after="0"/>
        <w:rPr>
          <w:sz w:val="20"/>
          <w:szCs w:val="20"/>
          <w:color w:val="auto"/>
        </w:rPr>
      </w:pPr>
      <w:r>
        <w:rPr>
          <w:rFonts w:ascii="Times New Roman" w:cs="Times New Roman" w:eastAsia="Times New Roman" w:hAnsi="Times New Roman"/>
          <w:sz w:val="14"/>
          <w:szCs w:val="14"/>
          <w:b w:val="1"/>
          <w:bCs w:val="1"/>
          <w:color w:val="auto"/>
        </w:rPr>
        <w:t>Jennifer Fall Jung</w:t>
      </w:r>
    </w:p>
    <w:p>
      <w:pPr>
        <w:jc w:val="center"/>
        <w:ind w:right="5260"/>
        <w:spacing w:after="0" w:line="221" w:lineRule="auto"/>
        <w:rPr>
          <w:sz w:val="20"/>
          <w:szCs w:val="20"/>
          <w:color w:val="auto"/>
        </w:rPr>
      </w:pPr>
      <w:r>
        <w:rPr>
          <w:rFonts w:ascii="Times New Roman" w:cs="Times New Roman" w:eastAsia="Times New Roman" w:hAnsi="Times New Roman"/>
          <w:sz w:val="14"/>
          <w:szCs w:val="14"/>
          <w:i w:val="1"/>
          <w:iCs w:val="1"/>
          <w:color w:val="auto"/>
        </w:rPr>
        <w:t>Chief Financial Officer and Secretary</w:t>
      </w:r>
    </w:p>
    <w:p>
      <w:pPr>
        <w:jc w:val="center"/>
        <w:ind w:right="5260"/>
        <w:spacing w:after="0"/>
        <w:rPr>
          <w:sz w:val="20"/>
          <w:szCs w:val="20"/>
          <w:color w:val="auto"/>
        </w:rPr>
      </w:pPr>
      <w:r>
        <w:rPr>
          <w:rFonts w:ascii="Times New Roman" w:cs="Times New Roman" w:eastAsia="Times New Roman" w:hAnsi="Times New Roman"/>
          <w:sz w:val="14"/>
          <w:szCs w:val="14"/>
          <w:i w:val="1"/>
          <w:iCs w:val="1"/>
          <w:color w:val="auto"/>
        </w:rPr>
        <w:t>(Principal Financial and Accounting Officer)</w:t>
      </w:r>
    </w:p>
    <w:p>
      <w:pPr>
        <w:spacing w:after="0" w:line="192"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The foregoing certifications are being furnished pursuant to 18 U.S.C. Section 1350. They are not being filed for purposes of Section 18 of the Securities Exchange Act of 1934, as amended, and are not to be incorporated by reference into any filing of the Registrant, regardless of any general incorporation language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770890</wp:posOffset>
            </wp:positionV>
            <wp:extent cx="7157720" cy="425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1" w:right="379" w:bottom="1440" w:gutter="0" w:footer="0" w:header="0"/>
        </w:sectPr>
      </w:pPr>
    </w:p>
    <w:bookmarkStart w:id="44" w:name="page45"/>
    <w:bookmarkEnd w:id="4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
      <w:numFmt w:val="bullet"/>
      <w:start w:val="1"/>
    </w:lvl>
  </w:abstractNum>
  <w:abstractNum w:abstractNumId="3">
    <w:nsid w:val="216231B"/>
    <w:multiLevelType w:val="hybridMultilevel"/>
    <w:lvl w:ilvl="0">
      <w:lvlJc w:val="left"/>
      <w:lvlText w:val="(%1)"/>
      <w:numFmt w:val="decimal"/>
      <w:start w:val="1"/>
    </w:lvl>
  </w:abstractNum>
  <w:abstractNum w:abstractNumId="4">
    <w:nsid w:val="1F16E9E8"/>
    <w:multiLevelType w:val="hybridMultilevel"/>
    <w:lvl w:ilvl="0">
      <w:lvlJc w:val="left"/>
      <w:lvlText w:val="•"/>
      <w:numFmt w:val="bullet"/>
      <w:start w:val="1"/>
    </w:lvl>
  </w:abstractNum>
  <w:abstractNum w:abstractNumId="5">
    <w:nsid w:val="1190CDE7"/>
    <w:multiLevelType w:val="hybridMultilevel"/>
    <w:lvl w:ilvl="0">
      <w:lvlJc w:val="left"/>
      <w:lvlText w:val="(%1)"/>
      <w:numFmt w:val="decimal"/>
      <w:start w:val="1"/>
    </w:lvl>
  </w:abstractNum>
  <w:abstractNum w:abstractNumId="6">
    <w:nsid w:val="66EF438D"/>
    <w:multiLevelType w:val="hybridMultilevel"/>
    <w:lvl w:ilvl="0">
      <w:lvlJc w:val="left"/>
      <w:lvlText w:val="(%1)"/>
      <w:numFmt w:val="decimal"/>
      <w:start w:val="12"/>
    </w:lvl>
  </w:abstractNum>
  <w:abstractNum w:abstractNumId="7">
    <w:nsid w:val="140E0F76"/>
    <w:multiLevelType w:val="hybridMultilevel"/>
    <w:lvl w:ilvl="0">
      <w:lvlJc w:val="left"/>
      <w:lvlText w:val="(%1)"/>
      <w:numFmt w:val="decimal"/>
      <w:start w:val="13"/>
    </w:lvl>
  </w:abstractNum>
  <w:abstractNum w:abstractNumId="8">
    <w:nsid w:val="3352255A"/>
    <w:multiLevelType w:val="hybridMultilevel"/>
    <w:lvl w:ilvl="0">
      <w:lvlJc w:val="left"/>
      <w:lvlText w:val="•"/>
      <w:numFmt w:val="bullet"/>
      <w:start w:val="1"/>
    </w:lvl>
  </w:abstractNum>
  <w:abstractNum w:abstractNumId="9">
    <w:nsid w:val="109CF92E"/>
    <w:multiLevelType w:val="hybridMultilevel"/>
    <w:lvl w:ilvl="0">
      <w:lvlJc w:val="left"/>
      <w:lvlText w:val="•"/>
      <w:numFmt w:val="bullet"/>
      <w:start w:val="1"/>
    </w:lvl>
  </w:abstractNum>
  <w:abstractNum w:abstractNumId="10">
    <w:nsid w:val="DED7263"/>
    <w:multiLevelType w:val="hybridMultilevel"/>
    <w:lvl w:ilvl="0">
      <w:lvlJc w:val="left"/>
      <w:lvlText w:val="•"/>
      <w:numFmt w:val="bullet"/>
      <w:start w:val="1"/>
    </w:lvl>
  </w:abstractNum>
  <w:abstractNum w:abstractNumId="11">
    <w:nsid w:val="7FDCC233"/>
    <w:multiLevelType w:val="hybridMultilevel"/>
    <w:lvl w:ilvl="0">
      <w:lvlJc w:val="left"/>
      <w:lvlText w:val="•"/>
      <w:numFmt w:val="bullet"/>
      <w:start w:val="1"/>
    </w:lvl>
  </w:abstractNum>
  <w:abstractNum w:abstractNumId="12">
    <w:nsid w:val="1BEFD79F"/>
    <w:multiLevelType w:val="hybridMultilevel"/>
    <w:lvl w:ilvl="0">
      <w:lvlJc w:val="left"/>
      <w:lvlText w:val="(%1)"/>
      <w:numFmt w:val="decimal"/>
      <w:start w:val="1"/>
    </w:lvl>
  </w:abstractNum>
  <w:abstractNum w:abstractNumId="13">
    <w:nsid w:val="41A7C4C9"/>
    <w:multiLevelType w:val="hybridMultilevel"/>
    <w:lvl w:ilvl="0">
      <w:lvlJc w:val="left"/>
      <w:lvlText w:val="*"/>
      <w:numFmt w:val="bullet"/>
      <w:start w:val="1"/>
    </w:lvl>
  </w:abstractNum>
  <w:abstractNum w:abstractNumId="14">
    <w:nsid w:val="6B68079A"/>
    <w:multiLevelType w:val="hybridMultilevel"/>
    <w:lvl w:ilvl="0">
      <w:lvlJc w:val="left"/>
      <w:lvlText w:val="%1."/>
      <w:numFmt w:val="decimal"/>
      <w:start w:val="1"/>
    </w:lvl>
    <w:lvl w:ilvl="1">
      <w:lvlJc w:val="left"/>
      <w:lvlText w:val="%2."/>
      <w:numFmt w:val="lowerLetter"/>
      <w:start w:val="1"/>
    </w:lvl>
  </w:abstractNum>
  <w:abstractNum w:abstractNumId="15">
    <w:nsid w:val="4E6AFB66"/>
    <w:multiLevelType w:val="hybridMultilevel"/>
    <w:lvl w:ilvl="0">
      <w:lvlJc w:val="left"/>
      <w:lvlText w:val="%1."/>
      <w:numFmt w:val="decimal"/>
      <w:start w:val="1"/>
    </w:lvl>
    <w:lvl w:ilvl="1">
      <w:lvlJc w:val="left"/>
      <w:lvlText w:val="%2."/>
      <w:numFmt w:val="lowerLetter"/>
      <w:start w:val="1"/>
    </w:lvl>
  </w:abstractNum>
  <w:abstractNum w:abstractNumId="16">
    <w:nsid w:val="25E45D3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7" Type="http://schemas.openxmlformats.org/officeDocument/2006/relationships/image" Target="media/image329.png"/><Relationship Id="rId339" Type="http://schemas.openxmlformats.org/officeDocument/2006/relationships/image" Target="media/image330.png"/><Relationship Id="rId340" Type="http://schemas.openxmlformats.org/officeDocument/2006/relationships/image" Target="media/image331.png"/><Relationship Id="rId341" Type="http://schemas.openxmlformats.org/officeDocument/2006/relationships/image" Target="media/image332.png"/><Relationship Id="rId342" Type="http://schemas.openxmlformats.org/officeDocument/2006/relationships/image" Target="media/image333.png"/><Relationship Id="rId343" Type="http://schemas.openxmlformats.org/officeDocument/2006/relationships/image" Target="media/image334.png"/><Relationship Id="rId344" Type="http://schemas.openxmlformats.org/officeDocument/2006/relationships/image" Target="media/image335.png"/><Relationship Id="rId345" Type="http://schemas.openxmlformats.org/officeDocument/2006/relationships/image" Target="media/image336.png"/><Relationship Id="rId346" Type="http://schemas.openxmlformats.org/officeDocument/2006/relationships/image" Target="media/image337.png"/><Relationship Id="rId347" Type="http://schemas.openxmlformats.org/officeDocument/2006/relationships/image" Target="media/image338.png"/><Relationship Id="rId348" Type="http://schemas.openxmlformats.org/officeDocument/2006/relationships/image" Target="media/image339.png"/><Relationship Id="rId349" Type="http://schemas.openxmlformats.org/officeDocument/2006/relationships/image" Target="media/image340.png"/><Relationship Id="rId350" Type="http://schemas.openxmlformats.org/officeDocument/2006/relationships/image" Target="media/image341.png"/><Relationship Id="rId351" Type="http://schemas.openxmlformats.org/officeDocument/2006/relationships/image" Target="media/image342.png"/><Relationship Id="rId352" Type="http://schemas.openxmlformats.org/officeDocument/2006/relationships/image" Target="media/image343.png"/><Relationship Id="rId353" Type="http://schemas.openxmlformats.org/officeDocument/2006/relationships/image" Target="media/image344.png"/><Relationship Id="rId354" Type="http://schemas.openxmlformats.org/officeDocument/2006/relationships/image" Target="media/image345.png"/><Relationship Id="rId355" Type="http://schemas.openxmlformats.org/officeDocument/2006/relationships/image" Target="media/image346.png"/><Relationship Id="rId356" Type="http://schemas.openxmlformats.org/officeDocument/2006/relationships/image" Target="media/image347.png"/><Relationship Id="rId357" Type="http://schemas.openxmlformats.org/officeDocument/2006/relationships/image" Target="media/image348.png"/><Relationship Id="rId358" Type="http://schemas.openxmlformats.org/officeDocument/2006/relationships/image" Target="media/image349.png"/><Relationship Id="rId359" Type="http://schemas.openxmlformats.org/officeDocument/2006/relationships/image" Target="media/image350.png"/><Relationship Id="rId360" Type="http://schemas.openxmlformats.org/officeDocument/2006/relationships/image" Target="media/image351.png"/><Relationship Id="rId336" Type="http://schemas.openxmlformats.org/officeDocument/2006/relationships/hyperlink" Target="https://www.sec.gov/Archives/edgar/data/1132105/000095017023026914/spwh-ex3_1.htm" TargetMode="External"/><Relationship Id="rId338" Type="http://schemas.openxmlformats.org/officeDocument/2006/relationships/hyperlink" Target="https://www.sec.gov/ix?doc=/Archives/edgar/data/1132105/000095017024041618/spwh-2024020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2025-12-04T15:25:38Z</dcterms:created>
  <dcterms:modified xsi:type="dcterms:W3CDTF">2025-12-04T15:25:38Z</dcterms:modified>
</cp:coreProperties>
</file>